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44" w:rsidRDefault="00E17A1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KSV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General Mandate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17A1C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17A1C"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="00E17A1C" w:rsidRPr="00E17A1C">
        <w:rPr>
          <w:rFonts w:ascii="Arial" w:hAnsi="Arial" w:cs="Arial"/>
          <w:sz w:val="20"/>
          <w:szCs w:val="20"/>
        </w:rPr>
        <w:t xml:space="preserve"> - Minerals Holding Corporation</w:t>
      </w:r>
      <w:r w:rsidR="00E17A1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17A1C" w:rsidRPr="00E17A1C">
        <w:rPr>
          <w:rFonts w:ascii="Arial" w:hAnsi="Arial" w:cs="Arial"/>
          <w:sz w:val="20"/>
          <w:szCs w:val="20"/>
        </w:rPr>
        <w:t>General Mandate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7A1C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change in</w:t>
      </w:r>
      <w:r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members of </w:t>
      </w:r>
      <w:proofErr w:type="spellStart"/>
      <w:r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- Minerals Holding Corporation</w:t>
      </w:r>
    </w:p>
    <w:p w:rsidR="00E17A1C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17A1C">
        <w:rPr>
          <w:rFonts w:ascii="Arial" w:hAnsi="Arial" w:cs="Arial"/>
          <w:sz w:val="20"/>
          <w:szCs w:val="20"/>
        </w:rPr>
        <w:t xml:space="preserve">he General Meeting of Shareholders </w:t>
      </w:r>
      <w:r>
        <w:rPr>
          <w:rFonts w:ascii="Arial" w:hAnsi="Arial" w:cs="Arial"/>
          <w:sz w:val="20"/>
          <w:szCs w:val="20"/>
        </w:rPr>
        <w:t>approved the change in</w:t>
      </w:r>
      <w:r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</w:t>
      </w:r>
      <w:r w:rsidRPr="00E17A1C">
        <w:rPr>
          <w:rFonts w:ascii="Arial" w:hAnsi="Arial" w:cs="Arial"/>
          <w:sz w:val="20"/>
          <w:szCs w:val="20"/>
        </w:rPr>
        <w:t xml:space="preserve"> of the Board of Directors of </w:t>
      </w:r>
      <w:proofErr w:type="spellStart"/>
      <w:r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- Minerals Holding Corporation, specifically as follows: </w:t>
      </w:r>
    </w:p>
    <w:p w:rsidR="00E17A1C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Based on point e, clause 2 Article 26 of the Charter of </w:t>
      </w:r>
      <w:proofErr w:type="spellStart"/>
      <w:r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- Minerals Holding Corporation, Mr. Vu Van Long </w:t>
      </w:r>
      <w:r>
        <w:rPr>
          <w:rFonts w:ascii="Arial" w:hAnsi="Arial" w:cs="Arial"/>
          <w:sz w:val="20"/>
          <w:szCs w:val="20"/>
        </w:rPr>
        <w:t>is</w:t>
      </w:r>
      <w:r w:rsidRPr="00E17A1C">
        <w:rPr>
          <w:rFonts w:ascii="Arial" w:hAnsi="Arial" w:cs="Arial"/>
          <w:sz w:val="20"/>
          <w:szCs w:val="20"/>
        </w:rPr>
        <w:t xml:space="preserve"> no longer a member of the </w:t>
      </w:r>
      <w:r>
        <w:rPr>
          <w:rFonts w:ascii="Arial" w:hAnsi="Arial" w:cs="Arial"/>
          <w:sz w:val="20"/>
          <w:szCs w:val="20"/>
        </w:rPr>
        <w:t>Board of Directors</w:t>
      </w:r>
      <w:r w:rsidRPr="00E17A1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- Minerals Holding Corporation, </w:t>
      </w:r>
      <w:r>
        <w:rPr>
          <w:rFonts w:ascii="Arial" w:hAnsi="Arial" w:cs="Arial"/>
          <w:sz w:val="20"/>
          <w:szCs w:val="20"/>
        </w:rPr>
        <w:t>dismissed</w:t>
      </w:r>
      <w:r w:rsidRPr="00E17A1C">
        <w:rPr>
          <w:rFonts w:ascii="Arial" w:hAnsi="Arial" w:cs="Arial"/>
          <w:sz w:val="20"/>
          <w:szCs w:val="20"/>
        </w:rPr>
        <w:t xml:space="preserve"> from the position of Chairman of </w:t>
      </w:r>
      <w:proofErr w:type="spellStart"/>
      <w:r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- Minerals Holding Corporation</w:t>
      </w:r>
      <w:r>
        <w:rPr>
          <w:rFonts w:ascii="Arial" w:hAnsi="Arial" w:cs="Arial"/>
          <w:sz w:val="20"/>
          <w:szCs w:val="20"/>
        </w:rPr>
        <w:t xml:space="preserve"> from May 15, 2019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7A1C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 Approve</w:t>
      </w:r>
      <w:r w:rsidRPr="00E17A1C">
        <w:rPr>
          <w:rFonts w:ascii="Arial" w:hAnsi="Arial" w:cs="Arial"/>
          <w:sz w:val="20"/>
          <w:szCs w:val="20"/>
        </w:rPr>
        <w:t xml:space="preserve"> the results of production and business in 2019, the targets of the business plan for production and business in 2020 with the following contents: </w:t>
      </w:r>
    </w:p>
    <w:p w:rsidR="0084484E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7A1C" w:rsidRPr="00E17A1C">
        <w:rPr>
          <w:rFonts w:ascii="Arial" w:hAnsi="Arial" w:cs="Arial"/>
          <w:sz w:val="20"/>
          <w:szCs w:val="20"/>
        </w:rPr>
        <w:t>Appr</w:t>
      </w:r>
      <w:r>
        <w:rPr>
          <w:rFonts w:ascii="Arial" w:hAnsi="Arial" w:cs="Arial"/>
          <w:sz w:val="20"/>
          <w:szCs w:val="20"/>
        </w:rPr>
        <w:t>ove</w:t>
      </w:r>
      <w:r w:rsidR="00E17A1C" w:rsidRPr="00E17A1C">
        <w:rPr>
          <w:rFonts w:ascii="Arial" w:hAnsi="Arial" w:cs="Arial"/>
          <w:sz w:val="20"/>
          <w:szCs w:val="20"/>
        </w:rPr>
        <w:t xml:space="preserve"> the business results in 2019 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Total consolidated revenue of the Corporation: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="0084484E">
        <w:rPr>
          <w:rFonts w:ascii="Arial" w:hAnsi="Arial" w:cs="Arial"/>
          <w:sz w:val="20"/>
          <w:szCs w:val="20"/>
        </w:rPr>
        <w:t>6,202 billion, equal to 94.</w:t>
      </w:r>
      <w:r w:rsidRPr="00E17A1C">
        <w:rPr>
          <w:rFonts w:ascii="Arial" w:hAnsi="Arial" w:cs="Arial"/>
          <w:sz w:val="20"/>
          <w:szCs w:val="20"/>
        </w:rPr>
        <w:t xml:space="preserve">86% of the </w:t>
      </w:r>
      <w:r w:rsidR="0084484E">
        <w:rPr>
          <w:rFonts w:ascii="Arial" w:hAnsi="Arial" w:cs="Arial"/>
          <w:sz w:val="20"/>
          <w:szCs w:val="20"/>
        </w:rPr>
        <w:t>adjusted plan and equal to 108.</w:t>
      </w:r>
      <w:r w:rsidRPr="00E17A1C">
        <w:rPr>
          <w:rFonts w:ascii="Arial" w:hAnsi="Arial" w:cs="Arial"/>
          <w:sz w:val="20"/>
          <w:szCs w:val="20"/>
        </w:rPr>
        <w:t xml:space="preserve">77% </w:t>
      </w:r>
      <w:r w:rsidR="0084484E">
        <w:rPr>
          <w:rFonts w:ascii="Arial" w:hAnsi="Arial" w:cs="Arial"/>
          <w:sz w:val="20"/>
          <w:szCs w:val="20"/>
        </w:rPr>
        <w:t>of the same period last year (in</w:t>
      </w:r>
      <w:r w:rsidRPr="00E17A1C">
        <w:rPr>
          <w:rFonts w:ascii="Arial" w:hAnsi="Arial" w:cs="Arial"/>
          <w:sz w:val="20"/>
          <w:szCs w:val="20"/>
        </w:rPr>
        <w:t xml:space="preserve"> which: Revenue </w:t>
      </w:r>
      <w:r w:rsidR="0084484E">
        <w:rPr>
          <w:rFonts w:ascii="Arial" w:hAnsi="Arial" w:cs="Arial"/>
          <w:sz w:val="20"/>
          <w:szCs w:val="20"/>
        </w:rPr>
        <w:t>of parent company’s</w:t>
      </w:r>
      <w:r w:rsidRPr="00E17A1C">
        <w:rPr>
          <w:rFonts w:ascii="Arial" w:hAnsi="Arial" w:cs="Arial"/>
          <w:sz w:val="20"/>
          <w:szCs w:val="20"/>
        </w:rPr>
        <w:t xml:space="preserve"> products: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2</w:t>
      </w:r>
      <w:r w:rsidR="0084484E">
        <w:rPr>
          <w:rFonts w:ascii="Arial" w:hAnsi="Arial" w:cs="Arial"/>
          <w:sz w:val="20"/>
          <w:szCs w:val="20"/>
        </w:rPr>
        <w:t>,670.97 billion</w:t>
      </w:r>
      <w:r w:rsidRPr="00E17A1C">
        <w:rPr>
          <w:rFonts w:ascii="Arial" w:hAnsi="Arial" w:cs="Arial"/>
          <w:sz w:val="20"/>
          <w:szCs w:val="20"/>
        </w:rPr>
        <w:t xml:space="preserve">/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="0084484E">
        <w:rPr>
          <w:rFonts w:ascii="Arial" w:hAnsi="Arial" w:cs="Arial"/>
          <w:sz w:val="20"/>
          <w:szCs w:val="20"/>
        </w:rPr>
        <w:t>2,</w:t>
      </w:r>
      <w:r w:rsidRPr="00E17A1C">
        <w:rPr>
          <w:rFonts w:ascii="Arial" w:hAnsi="Arial" w:cs="Arial"/>
          <w:sz w:val="20"/>
          <w:szCs w:val="20"/>
        </w:rPr>
        <w:t xml:space="preserve">621 billion of </w:t>
      </w:r>
      <w:r w:rsidR="0084484E">
        <w:rPr>
          <w:rFonts w:ascii="Arial" w:hAnsi="Arial" w:cs="Arial"/>
          <w:sz w:val="20"/>
          <w:szCs w:val="20"/>
        </w:rPr>
        <w:t xml:space="preserve">the </w:t>
      </w:r>
      <w:r w:rsidRPr="00E17A1C">
        <w:rPr>
          <w:rFonts w:ascii="Arial" w:hAnsi="Arial" w:cs="Arial"/>
          <w:sz w:val="20"/>
          <w:szCs w:val="20"/>
        </w:rPr>
        <w:t>adjusted</w:t>
      </w:r>
      <w:r w:rsidR="0084484E">
        <w:rPr>
          <w:rFonts w:ascii="Arial" w:hAnsi="Arial" w:cs="Arial"/>
          <w:sz w:val="20"/>
          <w:szCs w:val="20"/>
        </w:rPr>
        <w:t xml:space="preserve"> plan, equal to 101.91% of the adjusted plan)</w:t>
      </w:r>
    </w:p>
    <w:p w:rsidR="00E17A1C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before tax: </w:t>
      </w:r>
      <w:r w:rsidRPr="00E17A1C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15.</w:t>
      </w:r>
      <w:r w:rsidR="00E17A1C" w:rsidRPr="00E17A1C">
        <w:rPr>
          <w:rFonts w:ascii="Arial" w:hAnsi="Arial" w:cs="Arial"/>
          <w:sz w:val="20"/>
          <w:szCs w:val="20"/>
        </w:rPr>
        <w:t xml:space="preserve">51 billion </w:t>
      </w:r>
      <w:r>
        <w:rPr>
          <w:rFonts w:ascii="Arial" w:hAnsi="Arial" w:cs="Arial"/>
          <w:sz w:val="20"/>
          <w:szCs w:val="20"/>
        </w:rPr>
        <w:t>(in</w:t>
      </w:r>
      <w:r w:rsidR="00E17A1C" w:rsidRPr="00E17A1C">
        <w:rPr>
          <w:rFonts w:ascii="Arial" w:hAnsi="Arial" w:cs="Arial"/>
          <w:sz w:val="20"/>
          <w:szCs w:val="20"/>
        </w:rPr>
        <w:t xml:space="preserve"> which: Parent company - Corporation: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137.</w:t>
      </w:r>
      <w:r w:rsidR="00E17A1C" w:rsidRPr="00E17A1C">
        <w:rPr>
          <w:rFonts w:ascii="Arial" w:hAnsi="Arial" w:cs="Arial"/>
          <w:sz w:val="20"/>
          <w:szCs w:val="20"/>
        </w:rPr>
        <w:t>67 billion)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Submit the </w:t>
      </w:r>
      <w:r w:rsidR="0084484E">
        <w:rPr>
          <w:rFonts w:ascii="Arial" w:hAnsi="Arial" w:cs="Arial"/>
          <w:sz w:val="20"/>
          <w:szCs w:val="20"/>
        </w:rPr>
        <w:t xml:space="preserve">State </w:t>
      </w:r>
      <w:r w:rsidRPr="00E17A1C">
        <w:rPr>
          <w:rFonts w:ascii="Arial" w:hAnsi="Arial" w:cs="Arial"/>
          <w:sz w:val="20"/>
          <w:szCs w:val="20"/>
        </w:rPr>
        <w:t xml:space="preserve">budget: </w:t>
      </w:r>
      <w:r w:rsidR="0084484E">
        <w:rPr>
          <w:rFonts w:ascii="Arial" w:hAnsi="Arial" w:cs="Arial"/>
          <w:sz w:val="20"/>
          <w:szCs w:val="20"/>
        </w:rPr>
        <w:t>VND 970.75 billion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Tot</w:t>
      </w:r>
      <w:r w:rsidR="0084484E">
        <w:rPr>
          <w:rFonts w:ascii="Arial" w:hAnsi="Arial" w:cs="Arial"/>
          <w:sz w:val="20"/>
          <w:szCs w:val="20"/>
        </w:rPr>
        <w:t>al employees: 4,</w:t>
      </w:r>
      <w:r w:rsidRPr="00E17A1C">
        <w:rPr>
          <w:rFonts w:ascii="Arial" w:hAnsi="Arial" w:cs="Arial"/>
          <w:sz w:val="20"/>
          <w:szCs w:val="20"/>
        </w:rPr>
        <w:t>453/</w:t>
      </w:r>
      <w:r w:rsidR="0084484E">
        <w:rPr>
          <w:rFonts w:ascii="Arial" w:hAnsi="Arial" w:cs="Arial"/>
          <w:sz w:val="20"/>
          <w:szCs w:val="20"/>
        </w:rPr>
        <w:t xml:space="preserve"> </w:t>
      </w:r>
      <w:r w:rsidRPr="00E17A1C">
        <w:rPr>
          <w:rFonts w:ascii="Arial" w:hAnsi="Arial" w:cs="Arial"/>
          <w:sz w:val="20"/>
          <w:szCs w:val="20"/>
        </w:rPr>
        <w:t>4</w:t>
      </w:r>
      <w:r w:rsidR="0084484E">
        <w:rPr>
          <w:rFonts w:ascii="Arial" w:hAnsi="Arial" w:cs="Arial"/>
          <w:sz w:val="20"/>
          <w:szCs w:val="20"/>
        </w:rPr>
        <w:t>,812 people, reaching 92.</w:t>
      </w:r>
      <w:r w:rsidRPr="00E17A1C">
        <w:rPr>
          <w:rFonts w:ascii="Arial" w:hAnsi="Arial" w:cs="Arial"/>
          <w:sz w:val="20"/>
          <w:szCs w:val="20"/>
        </w:rPr>
        <w:t xml:space="preserve">54% </w:t>
      </w:r>
      <w:r w:rsidR="0084484E">
        <w:rPr>
          <w:rFonts w:ascii="Arial" w:hAnsi="Arial" w:cs="Arial"/>
          <w:sz w:val="20"/>
          <w:szCs w:val="20"/>
        </w:rPr>
        <w:t>of the year plan and 97.</w:t>
      </w:r>
      <w:r w:rsidRPr="00E17A1C">
        <w:rPr>
          <w:rFonts w:ascii="Arial" w:hAnsi="Arial" w:cs="Arial"/>
          <w:sz w:val="20"/>
          <w:szCs w:val="20"/>
        </w:rPr>
        <w:t xml:space="preserve">87% </w:t>
      </w:r>
      <w:r w:rsidR="0084484E">
        <w:rPr>
          <w:rFonts w:ascii="Arial" w:hAnsi="Arial" w:cs="Arial"/>
          <w:sz w:val="20"/>
          <w:szCs w:val="20"/>
        </w:rPr>
        <w:t xml:space="preserve">of the </w:t>
      </w:r>
      <w:r w:rsidRPr="00E17A1C">
        <w:rPr>
          <w:rFonts w:ascii="Arial" w:hAnsi="Arial" w:cs="Arial"/>
          <w:sz w:val="20"/>
          <w:szCs w:val="20"/>
        </w:rPr>
        <w:t>2018</w:t>
      </w:r>
      <w:r w:rsidR="0084484E">
        <w:rPr>
          <w:rFonts w:ascii="Arial" w:hAnsi="Arial" w:cs="Arial"/>
          <w:sz w:val="20"/>
          <w:szCs w:val="20"/>
        </w:rPr>
        <w:t xml:space="preserve"> plan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Average income: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="0084484E">
        <w:rPr>
          <w:rFonts w:ascii="Arial" w:hAnsi="Arial" w:cs="Arial"/>
          <w:sz w:val="20"/>
          <w:szCs w:val="20"/>
        </w:rPr>
        <w:t>8.258 million/ person/ month, equal to 91.</w:t>
      </w:r>
      <w:r w:rsidRPr="00E17A1C">
        <w:rPr>
          <w:rFonts w:ascii="Arial" w:hAnsi="Arial" w:cs="Arial"/>
          <w:sz w:val="20"/>
          <w:szCs w:val="20"/>
        </w:rPr>
        <w:t xml:space="preserve">29% </w:t>
      </w:r>
      <w:r w:rsidR="0084484E">
        <w:rPr>
          <w:rFonts w:ascii="Arial" w:hAnsi="Arial" w:cs="Arial"/>
          <w:sz w:val="20"/>
          <w:szCs w:val="20"/>
        </w:rPr>
        <w:t>of the year plan and 95.</w:t>
      </w:r>
      <w:r w:rsidRPr="00E17A1C">
        <w:rPr>
          <w:rFonts w:ascii="Arial" w:hAnsi="Arial" w:cs="Arial"/>
          <w:sz w:val="20"/>
          <w:szCs w:val="20"/>
        </w:rPr>
        <w:t>35%</w:t>
      </w:r>
      <w:r w:rsidR="0084484E">
        <w:rPr>
          <w:rFonts w:ascii="Arial" w:hAnsi="Arial" w:cs="Arial"/>
          <w:sz w:val="20"/>
          <w:szCs w:val="20"/>
        </w:rPr>
        <w:t xml:space="preserve"> of the previous year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Total value of construction investment in 2019: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1</w:t>
      </w:r>
      <w:r w:rsidR="0084484E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121</w:t>
      </w:r>
      <w:r w:rsidR="0084484E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974 million</w:t>
      </w:r>
      <w:r w:rsidR="0084484E">
        <w:rPr>
          <w:rFonts w:ascii="Arial" w:hAnsi="Arial" w:cs="Arial"/>
          <w:sz w:val="20"/>
          <w:szCs w:val="20"/>
        </w:rPr>
        <w:t>, equal to 96.66% of the 2019 Plan</w:t>
      </w:r>
    </w:p>
    <w:p w:rsidR="0084484E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production and business plan for 2020 </w:t>
      </w:r>
    </w:p>
    <w:p w:rsidR="0084484E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</w:t>
      </w:r>
      <w:r w:rsidR="00E17A1C" w:rsidRPr="00E17A1C">
        <w:rPr>
          <w:rFonts w:ascii="Arial" w:hAnsi="Arial" w:cs="Arial"/>
          <w:sz w:val="20"/>
          <w:szCs w:val="20"/>
        </w:rPr>
        <w:t xml:space="preserve"> Consolidated targets </w:t>
      </w:r>
      <w:r>
        <w:rPr>
          <w:rFonts w:ascii="Arial" w:hAnsi="Arial" w:cs="Arial"/>
          <w:sz w:val="20"/>
          <w:szCs w:val="20"/>
        </w:rPr>
        <w:t>of</w:t>
      </w:r>
      <w:r w:rsidR="00E17A1C" w:rsidRPr="00E17A1C">
        <w:rPr>
          <w:rFonts w:ascii="Arial" w:hAnsi="Arial" w:cs="Arial"/>
          <w:sz w:val="20"/>
          <w:szCs w:val="20"/>
        </w:rPr>
        <w:t xml:space="preserve"> the Corporation 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Total revenue: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="0084484E">
        <w:rPr>
          <w:rFonts w:ascii="Arial" w:hAnsi="Arial" w:cs="Arial"/>
          <w:sz w:val="20"/>
          <w:szCs w:val="20"/>
        </w:rPr>
        <w:t>6,</w:t>
      </w:r>
      <w:r w:rsidRPr="00E17A1C">
        <w:rPr>
          <w:rFonts w:ascii="Arial" w:hAnsi="Arial" w:cs="Arial"/>
          <w:sz w:val="20"/>
          <w:szCs w:val="20"/>
        </w:rPr>
        <w:t xml:space="preserve">588 billion </w:t>
      </w:r>
    </w:p>
    <w:p w:rsidR="0084484E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E17A1C" w:rsidRPr="00E17A1C">
        <w:rPr>
          <w:rFonts w:ascii="Arial" w:hAnsi="Arial" w:cs="Arial"/>
          <w:sz w:val="20"/>
          <w:szCs w:val="20"/>
        </w:rPr>
        <w:t xml:space="preserve">which: Revenue from minerals: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6,</w:t>
      </w:r>
      <w:r w:rsidR="00E17A1C" w:rsidRPr="00E17A1C">
        <w:rPr>
          <w:rFonts w:ascii="Arial" w:hAnsi="Arial" w:cs="Arial"/>
          <w:sz w:val="20"/>
          <w:szCs w:val="20"/>
        </w:rPr>
        <w:t xml:space="preserve">511 billion 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Other revenue from production and business: VND 77 billion  </w:t>
      </w:r>
    </w:p>
    <w:p w:rsidR="0084484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lastRenderedPageBreak/>
        <w:t>- Consolidated profit before tax</w:t>
      </w:r>
      <w:r w:rsidR="0084484E">
        <w:rPr>
          <w:rFonts w:ascii="Arial" w:hAnsi="Arial" w:cs="Arial"/>
          <w:sz w:val="20"/>
          <w:szCs w:val="20"/>
        </w:rPr>
        <w:t>: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84484E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 xml:space="preserve">163 billion, including: Profit from minerals: </w:t>
      </w:r>
      <w:r w:rsidR="0084484E">
        <w:rPr>
          <w:rFonts w:ascii="Arial" w:hAnsi="Arial" w:cs="Arial"/>
          <w:sz w:val="20"/>
          <w:szCs w:val="20"/>
        </w:rPr>
        <w:t>VND 162 billion; Profit from other business</w:t>
      </w:r>
      <w:r w:rsidRPr="00E17A1C">
        <w:rPr>
          <w:rFonts w:ascii="Arial" w:hAnsi="Arial" w:cs="Arial"/>
          <w:sz w:val="20"/>
          <w:szCs w:val="20"/>
        </w:rPr>
        <w:t xml:space="preserve">: </w:t>
      </w:r>
      <w:r w:rsidR="0084484E">
        <w:rPr>
          <w:rFonts w:ascii="Arial" w:hAnsi="Arial" w:cs="Arial"/>
          <w:sz w:val="20"/>
          <w:szCs w:val="20"/>
        </w:rPr>
        <w:t>VND 1 billion</w:t>
      </w:r>
    </w:p>
    <w:p w:rsidR="0084484E" w:rsidRDefault="008448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</w:t>
      </w:r>
      <w:r w:rsidR="00E17A1C" w:rsidRPr="00E17A1C">
        <w:rPr>
          <w:rFonts w:ascii="Arial" w:hAnsi="Arial" w:cs="Arial"/>
          <w:sz w:val="20"/>
          <w:szCs w:val="20"/>
        </w:rPr>
        <w:t xml:space="preserve"> Parent company - Corporation </w:t>
      </w:r>
    </w:p>
    <w:p w:rsidR="008852F8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Revenue: </w:t>
      </w:r>
      <w:r w:rsidR="0084484E" w:rsidRPr="00E17A1C">
        <w:rPr>
          <w:rFonts w:ascii="Arial" w:hAnsi="Arial" w:cs="Arial"/>
          <w:sz w:val="20"/>
          <w:szCs w:val="20"/>
        </w:rPr>
        <w:t xml:space="preserve">VND </w:t>
      </w:r>
      <w:r w:rsidR="0084484E">
        <w:rPr>
          <w:rFonts w:ascii="Arial" w:hAnsi="Arial" w:cs="Arial"/>
          <w:sz w:val="20"/>
          <w:szCs w:val="20"/>
        </w:rPr>
        <w:t>3,</w:t>
      </w:r>
      <w:r w:rsidRPr="00E17A1C">
        <w:rPr>
          <w:rFonts w:ascii="Arial" w:hAnsi="Arial" w:cs="Arial"/>
          <w:sz w:val="20"/>
          <w:szCs w:val="20"/>
        </w:rPr>
        <w:t xml:space="preserve">152 billion </w:t>
      </w:r>
    </w:p>
    <w:p w:rsidR="008852F8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17A1C" w:rsidRPr="00E17A1C">
        <w:rPr>
          <w:rFonts w:ascii="Arial" w:hAnsi="Arial" w:cs="Arial"/>
          <w:sz w:val="20"/>
          <w:szCs w:val="20"/>
        </w:rPr>
        <w:t xml:space="preserve">n which: Revenue of minerals: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3,</w:t>
      </w:r>
      <w:r w:rsidR="00E17A1C" w:rsidRPr="00E17A1C">
        <w:rPr>
          <w:rFonts w:ascii="Arial" w:hAnsi="Arial" w:cs="Arial"/>
          <w:sz w:val="20"/>
          <w:szCs w:val="20"/>
        </w:rPr>
        <w:t xml:space="preserve">104 billion </w:t>
      </w:r>
    </w:p>
    <w:p w:rsidR="008852F8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Other revenue: VND 48 billion </w:t>
      </w:r>
    </w:p>
    <w:p w:rsidR="008852F8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Parent com</w:t>
      </w:r>
      <w:r w:rsidR="008852F8">
        <w:rPr>
          <w:rFonts w:ascii="Arial" w:hAnsi="Arial" w:cs="Arial"/>
          <w:sz w:val="20"/>
          <w:szCs w:val="20"/>
        </w:rPr>
        <w:t>pany profits: VND 94 billion, in</w:t>
      </w:r>
      <w:r w:rsidRPr="00E17A1C">
        <w:rPr>
          <w:rFonts w:ascii="Arial" w:hAnsi="Arial" w:cs="Arial"/>
          <w:sz w:val="20"/>
          <w:szCs w:val="20"/>
        </w:rPr>
        <w:t xml:space="preserve"> which: From the </w:t>
      </w:r>
      <w:r w:rsidR="008852F8">
        <w:rPr>
          <w:rFonts w:ascii="Arial" w:hAnsi="Arial" w:cs="Arial"/>
          <w:sz w:val="20"/>
          <w:szCs w:val="20"/>
        </w:rPr>
        <w:t xml:space="preserve">mineral: VND 93.57 billion; </w:t>
      </w:r>
      <w:r w:rsidR="00B56061">
        <w:rPr>
          <w:rFonts w:ascii="Arial" w:hAnsi="Arial" w:cs="Arial"/>
          <w:sz w:val="20"/>
          <w:szCs w:val="20"/>
        </w:rPr>
        <w:t>other</w:t>
      </w:r>
      <w:r w:rsidR="008852F8">
        <w:rPr>
          <w:rFonts w:ascii="Arial" w:hAnsi="Arial" w:cs="Arial"/>
          <w:sz w:val="20"/>
          <w:szCs w:val="20"/>
        </w:rPr>
        <w:t xml:space="preserve"> business: VND 0.43 billion)</w:t>
      </w:r>
    </w:p>
    <w:p w:rsidR="008852F8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</w:t>
      </w:r>
      <w:r w:rsidR="00E17A1C" w:rsidRPr="00E17A1C">
        <w:rPr>
          <w:rFonts w:ascii="Arial" w:hAnsi="Arial" w:cs="Arial"/>
          <w:sz w:val="20"/>
          <w:szCs w:val="20"/>
        </w:rPr>
        <w:t xml:space="preserve"> Dividend plan for the Parent </w:t>
      </w:r>
      <w:r>
        <w:rPr>
          <w:rFonts w:ascii="Arial" w:hAnsi="Arial" w:cs="Arial"/>
          <w:sz w:val="20"/>
          <w:szCs w:val="20"/>
        </w:rPr>
        <w:t>company - Corporation in 2020: ≥</w:t>
      </w:r>
      <w:r w:rsidR="00E17A1C" w:rsidRPr="00E17A1C">
        <w:rPr>
          <w:rFonts w:ascii="Arial" w:hAnsi="Arial" w:cs="Arial"/>
          <w:sz w:val="20"/>
          <w:szCs w:val="20"/>
        </w:rPr>
        <w:t xml:space="preserve">3% </w:t>
      </w:r>
    </w:p>
    <w:p w:rsidR="008852F8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E17A1C" w:rsidRPr="00E17A1C">
        <w:rPr>
          <w:rFonts w:ascii="Arial" w:hAnsi="Arial" w:cs="Arial"/>
          <w:sz w:val="20"/>
          <w:szCs w:val="20"/>
        </w:rPr>
        <w:t xml:space="preserve">4 Basic construction: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1,476 billion,</w:t>
      </w:r>
      <w:r w:rsidR="00E17A1C"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E17A1C" w:rsidRPr="00E17A1C">
        <w:rPr>
          <w:rFonts w:ascii="Arial" w:hAnsi="Arial" w:cs="Arial"/>
          <w:sz w:val="20"/>
          <w:szCs w:val="20"/>
        </w:rPr>
        <w:t xml:space="preserve">n which: Project preparation, implementation of investment: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1,335.</w:t>
      </w:r>
      <w:r w:rsidR="00E17A1C" w:rsidRPr="00E17A1C">
        <w:rPr>
          <w:rFonts w:ascii="Arial" w:hAnsi="Arial" w:cs="Arial"/>
          <w:sz w:val="20"/>
          <w:szCs w:val="20"/>
        </w:rPr>
        <w:t>29 billion</w:t>
      </w:r>
      <w:r>
        <w:rPr>
          <w:rFonts w:ascii="Arial" w:hAnsi="Arial" w:cs="Arial"/>
          <w:sz w:val="20"/>
          <w:szCs w:val="20"/>
        </w:rPr>
        <w:t>; Payment for</w:t>
      </w:r>
      <w:r w:rsidR="00E17A1C" w:rsidRPr="00E17A1C">
        <w:rPr>
          <w:rFonts w:ascii="Arial" w:hAnsi="Arial" w:cs="Arial"/>
          <w:sz w:val="20"/>
          <w:szCs w:val="20"/>
        </w:rPr>
        <w:t xml:space="preserve"> debt</w:t>
      </w:r>
      <w:r>
        <w:rPr>
          <w:rFonts w:ascii="Arial" w:hAnsi="Arial" w:cs="Arial"/>
          <w:sz w:val="20"/>
          <w:szCs w:val="20"/>
        </w:rPr>
        <w:t>s</w:t>
      </w:r>
      <w:r w:rsidR="00E17A1C" w:rsidRPr="00E17A1C">
        <w:rPr>
          <w:rFonts w:ascii="Arial" w:hAnsi="Arial" w:cs="Arial"/>
          <w:sz w:val="20"/>
          <w:szCs w:val="20"/>
        </w:rPr>
        <w:t xml:space="preserve"> of the previous year: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 w:rsidR="00E17A1C" w:rsidRPr="00E17A1C">
        <w:rPr>
          <w:rFonts w:ascii="Arial" w:hAnsi="Arial" w:cs="Arial"/>
          <w:sz w:val="20"/>
          <w:szCs w:val="20"/>
        </w:rPr>
        <w:t xml:space="preserve">0 billion; Provisions: </w:t>
      </w:r>
      <w:r w:rsidRPr="00E17A1C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140.</w:t>
      </w:r>
      <w:r w:rsidR="00E17A1C" w:rsidRPr="00E17A1C">
        <w:rPr>
          <w:rFonts w:ascii="Arial" w:hAnsi="Arial" w:cs="Arial"/>
          <w:sz w:val="20"/>
          <w:szCs w:val="20"/>
        </w:rPr>
        <w:t xml:space="preserve">71 billion </w:t>
      </w:r>
    </w:p>
    <w:p w:rsidR="008852F8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="00E17A1C" w:rsidRPr="00E17A1C">
        <w:rPr>
          <w:rFonts w:ascii="Arial" w:hAnsi="Arial" w:cs="Arial"/>
          <w:sz w:val="20"/>
          <w:szCs w:val="20"/>
        </w:rPr>
        <w:t xml:space="preserve"> Salary and policies for employees: </w:t>
      </w:r>
    </w:p>
    <w:p w:rsidR="008852F8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labor: 4,812 people, in which: Parent C</w:t>
      </w:r>
      <w:r w:rsidR="00E17A1C" w:rsidRPr="00E17A1C">
        <w:rPr>
          <w:rFonts w:ascii="Arial" w:hAnsi="Arial" w:cs="Arial"/>
          <w:sz w:val="20"/>
          <w:szCs w:val="20"/>
        </w:rPr>
        <w:t>ompany</w:t>
      </w:r>
      <w:r>
        <w:rPr>
          <w:rFonts w:ascii="Arial" w:hAnsi="Arial" w:cs="Arial"/>
          <w:sz w:val="20"/>
          <w:szCs w:val="20"/>
        </w:rPr>
        <w:t>: 1,986 people</w:t>
      </w:r>
    </w:p>
    <w:p w:rsidR="008852F8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Operating to ensure the average salary of the Corporation </w:t>
      </w:r>
      <w:r w:rsidR="008852F8">
        <w:rPr>
          <w:rFonts w:ascii="Arial" w:hAnsi="Arial" w:cs="Arial"/>
          <w:sz w:val="20"/>
          <w:szCs w:val="20"/>
        </w:rPr>
        <w:t>of VND 8.976 million/ person/ month, equal to 118.28% of the plan in 2019, in</w:t>
      </w:r>
      <w:r w:rsidRPr="00E17A1C">
        <w:rPr>
          <w:rFonts w:ascii="Arial" w:hAnsi="Arial" w:cs="Arial"/>
          <w:sz w:val="20"/>
          <w:szCs w:val="20"/>
        </w:rPr>
        <w:t xml:space="preserve"> which: Parent co</w:t>
      </w:r>
      <w:r w:rsidR="008852F8">
        <w:rPr>
          <w:rFonts w:ascii="Arial" w:hAnsi="Arial" w:cs="Arial"/>
          <w:sz w:val="20"/>
          <w:szCs w:val="20"/>
        </w:rPr>
        <w:t>mpany - Corporation: VND 10.453 million/ person</w:t>
      </w:r>
      <w:r w:rsidRPr="00E17A1C">
        <w:rPr>
          <w:rFonts w:ascii="Arial" w:hAnsi="Arial" w:cs="Arial"/>
          <w:sz w:val="20"/>
          <w:szCs w:val="20"/>
        </w:rPr>
        <w:t>/ month The General</w:t>
      </w:r>
      <w:r w:rsidR="008852F8">
        <w:rPr>
          <w:rFonts w:ascii="Arial" w:hAnsi="Arial" w:cs="Arial"/>
          <w:sz w:val="20"/>
          <w:szCs w:val="20"/>
        </w:rPr>
        <w:t xml:space="preserve"> Meeting of Shareholders assigned</w:t>
      </w:r>
      <w:r w:rsidRPr="00E17A1C">
        <w:rPr>
          <w:rFonts w:ascii="Arial" w:hAnsi="Arial" w:cs="Arial"/>
          <w:sz w:val="20"/>
          <w:szCs w:val="20"/>
        </w:rPr>
        <w:t xml:space="preserve"> the </w:t>
      </w:r>
      <w:r w:rsidR="008852F8">
        <w:rPr>
          <w:rFonts w:ascii="Arial" w:hAnsi="Arial" w:cs="Arial"/>
          <w:sz w:val="20"/>
          <w:szCs w:val="20"/>
        </w:rPr>
        <w:t>Board of Directors</w:t>
      </w:r>
      <w:r w:rsidRPr="00E17A1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852F8" w:rsidRPr="00E17A1C">
        <w:rPr>
          <w:rFonts w:ascii="Arial" w:hAnsi="Arial" w:cs="Arial"/>
          <w:sz w:val="20"/>
          <w:szCs w:val="20"/>
        </w:rPr>
        <w:t>Vinacomin</w:t>
      </w:r>
      <w:proofErr w:type="spellEnd"/>
      <w:r w:rsidR="008852F8" w:rsidRPr="00E17A1C">
        <w:rPr>
          <w:rFonts w:ascii="Arial" w:hAnsi="Arial" w:cs="Arial"/>
          <w:sz w:val="20"/>
          <w:szCs w:val="20"/>
        </w:rPr>
        <w:t xml:space="preserve"> - Minerals Holding Corporation</w:t>
      </w:r>
      <w:r w:rsidR="008852F8">
        <w:rPr>
          <w:rFonts w:ascii="Arial" w:hAnsi="Arial" w:cs="Arial"/>
          <w:sz w:val="20"/>
          <w:szCs w:val="20"/>
        </w:rPr>
        <w:t xml:space="preserve"> to execute</w:t>
      </w:r>
      <w:r w:rsidRPr="00E17A1C">
        <w:rPr>
          <w:rFonts w:ascii="Arial" w:hAnsi="Arial" w:cs="Arial"/>
          <w:sz w:val="20"/>
          <w:szCs w:val="20"/>
        </w:rPr>
        <w:t xml:space="preserve"> direction and supervision of cost management, strengthening inspection  </w:t>
      </w:r>
      <w:r w:rsidR="008852F8">
        <w:rPr>
          <w:rFonts w:ascii="Arial" w:hAnsi="Arial" w:cs="Arial"/>
          <w:sz w:val="20"/>
          <w:szCs w:val="20"/>
        </w:rPr>
        <w:t>and strict</w:t>
      </w:r>
      <w:r w:rsidRPr="00E17A1C">
        <w:rPr>
          <w:rFonts w:ascii="Arial" w:hAnsi="Arial" w:cs="Arial"/>
          <w:sz w:val="20"/>
          <w:szCs w:val="20"/>
        </w:rPr>
        <w:t xml:space="preserve"> control </w:t>
      </w:r>
      <w:r w:rsidR="008852F8">
        <w:rPr>
          <w:rFonts w:ascii="Arial" w:hAnsi="Arial" w:cs="Arial"/>
          <w:sz w:val="20"/>
          <w:szCs w:val="20"/>
        </w:rPr>
        <w:t xml:space="preserve">of </w:t>
      </w:r>
      <w:r w:rsidRPr="00E17A1C">
        <w:rPr>
          <w:rFonts w:ascii="Arial" w:hAnsi="Arial" w:cs="Arial"/>
          <w:sz w:val="20"/>
          <w:szCs w:val="20"/>
        </w:rPr>
        <w:t xml:space="preserve">input costs (purchase of supplies), </w:t>
      </w:r>
      <w:r w:rsidR="008852F8">
        <w:rPr>
          <w:rFonts w:ascii="Arial" w:hAnsi="Arial" w:cs="Arial"/>
          <w:sz w:val="20"/>
          <w:szCs w:val="20"/>
        </w:rPr>
        <w:t>reduction of consumption,</w:t>
      </w:r>
      <w:r w:rsidRPr="00E17A1C">
        <w:rPr>
          <w:rFonts w:ascii="Arial" w:hAnsi="Arial" w:cs="Arial"/>
          <w:sz w:val="20"/>
          <w:szCs w:val="20"/>
        </w:rPr>
        <w:t xml:space="preserve"> repair costs etc. and authorize</w:t>
      </w:r>
      <w:r w:rsidR="008852F8">
        <w:rPr>
          <w:rFonts w:ascii="Arial" w:hAnsi="Arial" w:cs="Arial"/>
          <w:sz w:val="20"/>
          <w:szCs w:val="20"/>
        </w:rPr>
        <w:t>d</w:t>
      </w:r>
      <w:r w:rsidRPr="00E17A1C">
        <w:rPr>
          <w:rFonts w:ascii="Arial" w:hAnsi="Arial" w:cs="Arial"/>
          <w:sz w:val="20"/>
          <w:szCs w:val="20"/>
        </w:rPr>
        <w:t xml:space="preserve"> the Board of Directors of the Corporation in the process of  implement</w:t>
      </w:r>
      <w:r w:rsidR="008852F8">
        <w:rPr>
          <w:rFonts w:ascii="Arial" w:hAnsi="Arial" w:cs="Arial"/>
          <w:sz w:val="20"/>
          <w:szCs w:val="20"/>
        </w:rPr>
        <w:t>ing</w:t>
      </w:r>
      <w:r w:rsidRPr="00E17A1C">
        <w:rPr>
          <w:rFonts w:ascii="Arial" w:hAnsi="Arial" w:cs="Arial"/>
          <w:sz w:val="20"/>
          <w:szCs w:val="20"/>
        </w:rPr>
        <w:t xml:space="preserve"> the plan, based on the actual situation, price fluctuations of the market </w:t>
      </w:r>
      <w:r w:rsidR="008852F8">
        <w:rPr>
          <w:rFonts w:ascii="Arial" w:hAnsi="Arial" w:cs="Arial"/>
          <w:sz w:val="20"/>
          <w:szCs w:val="20"/>
        </w:rPr>
        <w:t xml:space="preserve">to </w:t>
      </w:r>
      <w:r w:rsidRPr="00E17A1C">
        <w:rPr>
          <w:rFonts w:ascii="Arial" w:hAnsi="Arial" w:cs="Arial"/>
          <w:sz w:val="20"/>
          <w:szCs w:val="20"/>
        </w:rPr>
        <w:t>actively adjust the plan appropriately to ensure the achievement o</w:t>
      </w:r>
      <w:r w:rsidR="008852F8">
        <w:rPr>
          <w:rFonts w:ascii="Arial" w:hAnsi="Arial" w:cs="Arial"/>
          <w:sz w:val="20"/>
          <w:szCs w:val="20"/>
        </w:rPr>
        <w:t>f the profit and dividend plan, maintain stable production and capital development</w:t>
      </w:r>
    </w:p>
    <w:p w:rsidR="00A62E62" w:rsidRDefault="008852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results of the implementation of the production and business plan for the period of 2016 </w:t>
      </w:r>
      <w:r w:rsidR="00A62E62">
        <w:rPr>
          <w:rFonts w:ascii="Arial" w:hAnsi="Arial" w:cs="Arial"/>
          <w:sz w:val="20"/>
          <w:szCs w:val="20"/>
        </w:rPr>
        <w:t xml:space="preserve">- </w:t>
      </w:r>
      <w:r w:rsidR="00E17A1C" w:rsidRPr="00E17A1C">
        <w:rPr>
          <w:rFonts w:ascii="Arial" w:hAnsi="Arial" w:cs="Arial"/>
          <w:sz w:val="20"/>
          <w:szCs w:val="20"/>
        </w:rPr>
        <w:t xml:space="preserve">2020, and some key targets for the period of 2021 - 2025 </w:t>
      </w:r>
    </w:p>
    <w:p w:rsidR="00A62E62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1.</w:t>
      </w:r>
      <w:r w:rsidR="00A62E62">
        <w:rPr>
          <w:rFonts w:ascii="Arial" w:hAnsi="Arial" w:cs="Arial"/>
          <w:sz w:val="20"/>
          <w:szCs w:val="20"/>
        </w:rPr>
        <w:t xml:space="preserve"> Approve</w:t>
      </w:r>
      <w:r w:rsidRPr="00E17A1C">
        <w:rPr>
          <w:rFonts w:ascii="Arial" w:hAnsi="Arial" w:cs="Arial"/>
          <w:sz w:val="20"/>
          <w:szCs w:val="20"/>
        </w:rPr>
        <w:t xml:space="preserve"> the business resul</w:t>
      </w:r>
      <w:r w:rsidR="00A62E62">
        <w:rPr>
          <w:rFonts w:ascii="Arial" w:hAnsi="Arial" w:cs="Arial"/>
          <w:sz w:val="20"/>
          <w:szCs w:val="20"/>
        </w:rPr>
        <w:t>ts in the period of 2016 - 2020</w:t>
      </w:r>
    </w:p>
    <w:p w:rsidR="00A62E62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Total consolidated revenue: 27</w:t>
      </w:r>
      <w:r w:rsidR="00A62E62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968 billion dong</w:t>
      </w:r>
      <w:r w:rsidR="00A62E62">
        <w:rPr>
          <w:rFonts w:ascii="Arial" w:hAnsi="Arial" w:cs="Arial"/>
          <w:sz w:val="20"/>
          <w:szCs w:val="20"/>
        </w:rPr>
        <w:t>s</w:t>
      </w:r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A62E62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Profit before tax: 748</w:t>
      </w:r>
      <w:r w:rsidR="00A62E62">
        <w:rPr>
          <w:rFonts w:ascii="Arial" w:hAnsi="Arial" w:cs="Arial"/>
          <w:sz w:val="20"/>
          <w:szCs w:val="20"/>
        </w:rPr>
        <w:t>.355 billion dongs</w:t>
      </w:r>
    </w:p>
    <w:p w:rsidR="00A62E62" w:rsidRDefault="00A62E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Contributing to the State budget:</w:t>
      </w:r>
      <w:r w:rsidR="00E17A1C" w:rsidRPr="00E17A1C">
        <w:rPr>
          <w:rFonts w:ascii="Arial" w:hAnsi="Arial" w:cs="Arial"/>
          <w:sz w:val="20"/>
          <w:szCs w:val="20"/>
        </w:rPr>
        <w:t xml:space="preserve">  3</w:t>
      </w:r>
      <w:r>
        <w:rPr>
          <w:rFonts w:ascii="Arial" w:hAnsi="Arial" w:cs="Arial"/>
          <w:sz w:val="20"/>
          <w:szCs w:val="20"/>
        </w:rPr>
        <w:t>,</w:t>
      </w:r>
      <w:r w:rsidR="00E17A1C" w:rsidRPr="00E17A1C">
        <w:rPr>
          <w:rFonts w:ascii="Arial" w:hAnsi="Arial" w:cs="Arial"/>
          <w:sz w:val="20"/>
          <w:szCs w:val="20"/>
        </w:rPr>
        <w:t>885</w:t>
      </w:r>
      <w:r>
        <w:rPr>
          <w:rFonts w:ascii="Arial" w:hAnsi="Arial" w:cs="Arial"/>
          <w:sz w:val="20"/>
          <w:szCs w:val="20"/>
        </w:rPr>
        <w:t>.</w:t>
      </w:r>
      <w:r w:rsidR="00E17A1C" w:rsidRPr="00E17A1C">
        <w:rPr>
          <w:rFonts w:ascii="Arial" w:hAnsi="Arial" w:cs="Arial"/>
          <w:sz w:val="20"/>
          <w:szCs w:val="20"/>
        </w:rPr>
        <w:t>015 billion dong</w:t>
      </w:r>
      <w:r>
        <w:rPr>
          <w:rFonts w:ascii="Arial" w:hAnsi="Arial" w:cs="Arial"/>
          <w:sz w:val="20"/>
          <w:szCs w:val="20"/>
        </w:rPr>
        <w:t>s</w:t>
      </w:r>
      <w:r w:rsidR="00E17A1C" w:rsidRPr="00E17A1C">
        <w:rPr>
          <w:rFonts w:ascii="Arial" w:hAnsi="Arial" w:cs="Arial"/>
          <w:sz w:val="20"/>
          <w:szCs w:val="20"/>
        </w:rPr>
        <w:t xml:space="preserve"> </w:t>
      </w:r>
    </w:p>
    <w:p w:rsidR="00A62E62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lastRenderedPageBreak/>
        <w:t xml:space="preserve">Average </w:t>
      </w:r>
      <w:r w:rsidR="00B56061">
        <w:rPr>
          <w:rFonts w:ascii="Arial" w:hAnsi="Arial" w:cs="Arial"/>
          <w:sz w:val="20"/>
          <w:szCs w:val="20"/>
        </w:rPr>
        <w:t xml:space="preserve">number of </w:t>
      </w:r>
      <w:r w:rsidRPr="00E17A1C">
        <w:rPr>
          <w:rFonts w:ascii="Arial" w:hAnsi="Arial" w:cs="Arial"/>
          <w:sz w:val="20"/>
          <w:szCs w:val="20"/>
        </w:rPr>
        <w:t>worker</w:t>
      </w:r>
      <w:r w:rsidR="00B56061">
        <w:rPr>
          <w:rFonts w:ascii="Arial" w:hAnsi="Arial" w:cs="Arial"/>
          <w:sz w:val="20"/>
          <w:szCs w:val="20"/>
        </w:rPr>
        <w:t>s</w:t>
      </w:r>
      <w:r w:rsidRPr="00E17A1C">
        <w:rPr>
          <w:rFonts w:ascii="Arial" w:hAnsi="Arial" w:cs="Arial"/>
          <w:sz w:val="20"/>
          <w:szCs w:val="20"/>
        </w:rPr>
        <w:t>: 4</w:t>
      </w:r>
      <w:r w:rsidR="00A62E62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719 people </w:t>
      </w:r>
    </w:p>
    <w:p w:rsidR="00A62E62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Average income: 7</w:t>
      </w:r>
      <w:r w:rsidR="00A62E62">
        <w:rPr>
          <w:rFonts w:ascii="Arial" w:hAnsi="Arial" w:cs="Arial"/>
          <w:sz w:val="20"/>
          <w:szCs w:val="20"/>
        </w:rPr>
        <w:t>.</w:t>
      </w:r>
      <w:r w:rsidRPr="00E17A1C">
        <w:rPr>
          <w:rFonts w:ascii="Arial" w:hAnsi="Arial" w:cs="Arial"/>
          <w:sz w:val="20"/>
          <w:szCs w:val="20"/>
        </w:rPr>
        <w:t>954 million dong</w:t>
      </w:r>
      <w:r w:rsidR="00A62E62">
        <w:rPr>
          <w:rFonts w:ascii="Arial" w:hAnsi="Arial" w:cs="Arial"/>
          <w:sz w:val="20"/>
          <w:szCs w:val="20"/>
        </w:rPr>
        <w:t>s/ person</w:t>
      </w:r>
      <w:r w:rsidRPr="00E17A1C">
        <w:rPr>
          <w:rFonts w:ascii="Arial" w:hAnsi="Arial" w:cs="Arial"/>
          <w:sz w:val="20"/>
          <w:szCs w:val="20"/>
        </w:rPr>
        <w:t>/ month</w:t>
      </w:r>
    </w:p>
    <w:p w:rsidR="00A62E62" w:rsidRDefault="00A62E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business and production plan for the period of 2021 - 2025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404"/>
        <w:gridCol w:w="797"/>
        <w:gridCol w:w="1106"/>
        <w:gridCol w:w="1106"/>
        <w:gridCol w:w="1106"/>
        <w:gridCol w:w="1106"/>
        <w:gridCol w:w="1106"/>
        <w:gridCol w:w="1373"/>
      </w:tblGrid>
      <w:tr w:rsidR="00A62E62" w:rsidTr="00A62E62">
        <w:tc>
          <w:tcPr>
            <w:tcW w:w="472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996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E17A1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Year 2022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Year 2023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Year 2024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Year 2025</w:t>
            </w: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</w:t>
            </w:r>
          </w:p>
        </w:tc>
      </w:tr>
      <w:tr w:rsidR="00A62E62" w:rsidTr="00A62E62">
        <w:tc>
          <w:tcPr>
            <w:tcW w:w="472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indicator</w:t>
            </w:r>
          </w:p>
        </w:tc>
        <w:tc>
          <w:tcPr>
            <w:tcW w:w="996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62" w:rsidTr="00A62E62">
        <w:tc>
          <w:tcPr>
            <w:tcW w:w="472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revenue</w:t>
            </w:r>
          </w:p>
        </w:tc>
        <w:tc>
          <w:tcPr>
            <w:tcW w:w="996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</w:t>
            </w:r>
            <w:r w:rsidR="00D7401E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515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008" w:type="dxa"/>
          </w:tcPr>
          <w:p w:rsidR="00A62E62" w:rsidRDefault="00A62E62">
            <w:r w:rsidRPr="00EB5942">
              <w:rPr>
                <w:rFonts w:ascii="Arial" w:hAnsi="Arial" w:cs="Arial"/>
                <w:sz w:val="20"/>
                <w:szCs w:val="20"/>
              </w:rPr>
              <w:t>8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310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>
            <w:r w:rsidRPr="00EB5942">
              <w:rPr>
                <w:rFonts w:ascii="Arial" w:hAnsi="Arial" w:cs="Arial"/>
                <w:sz w:val="20"/>
                <w:szCs w:val="20"/>
              </w:rPr>
              <w:t>8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310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>
            <w:r w:rsidRPr="00EB5942">
              <w:rPr>
                <w:rFonts w:ascii="Arial" w:hAnsi="Arial" w:cs="Arial"/>
                <w:sz w:val="20"/>
                <w:szCs w:val="20"/>
              </w:rPr>
              <w:t>8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310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B594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8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310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755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A62E62" w:rsidTr="00A62E62">
        <w:tc>
          <w:tcPr>
            <w:tcW w:w="472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996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Million dongs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187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008" w:type="dxa"/>
          </w:tcPr>
          <w:p w:rsidR="00A62E62" w:rsidRDefault="00A62E62" w:rsidP="00A62E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8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8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8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016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 w:rsidR="00A62E62" w:rsidTr="00A62E62">
        <w:tc>
          <w:tcPr>
            <w:tcW w:w="472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to the State budget</w:t>
            </w:r>
          </w:p>
        </w:tc>
        <w:tc>
          <w:tcPr>
            <w:tcW w:w="996" w:type="dxa"/>
          </w:tcPr>
          <w:p w:rsidR="00A62E62" w:rsidRDefault="00A62E62">
            <w:r w:rsidRPr="006B17F2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890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900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>
            <w:r w:rsidRPr="000C2731">
              <w:rPr>
                <w:rFonts w:ascii="Arial" w:hAnsi="Arial" w:cs="Arial"/>
                <w:sz w:val="20"/>
                <w:szCs w:val="20"/>
              </w:rPr>
              <w:t>900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0C273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>
            <w:r w:rsidRPr="000C2731">
              <w:rPr>
                <w:rFonts w:ascii="Arial" w:hAnsi="Arial" w:cs="Arial"/>
                <w:sz w:val="20"/>
                <w:szCs w:val="20"/>
              </w:rPr>
              <w:t>900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0C273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A62E62" w:rsidRDefault="00A62E62">
            <w:r w:rsidRPr="000C2731">
              <w:rPr>
                <w:rFonts w:ascii="Arial" w:hAnsi="Arial" w:cs="Arial"/>
                <w:sz w:val="20"/>
                <w:szCs w:val="20"/>
              </w:rPr>
              <w:t>900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0C273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500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62E62" w:rsidTr="00A62E62">
        <w:tc>
          <w:tcPr>
            <w:tcW w:w="472" w:type="dxa"/>
          </w:tcPr>
          <w:p w:rsidR="00A62E62" w:rsidRDefault="00A62E62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plan</w:t>
            </w:r>
          </w:p>
        </w:tc>
        <w:tc>
          <w:tcPr>
            <w:tcW w:w="996" w:type="dxa"/>
          </w:tcPr>
          <w:p w:rsidR="00A62E62" w:rsidRDefault="00A62E62">
            <w:r w:rsidRPr="006B17F2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609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730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543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775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1008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026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73" w:type="dxa"/>
          </w:tcPr>
          <w:p w:rsidR="00A62E62" w:rsidRDefault="00A62E6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685</w:t>
            </w:r>
            <w:r w:rsidR="00C33557"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</w:tr>
    </w:tbl>
    <w:p w:rsidR="00A62E62" w:rsidRDefault="00A62E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</w:t>
      </w:r>
      <w:r w:rsidR="00E17A1C" w:rsidRPr="00E17A1C">
        <w:rPr>
          <w:rFonts w:ascii="Arial" w:hAnsi="Arial" w:cs="Arial"/>
          <w:sz w:val="20"/>
          <w:szCs w:val="20"/>
        </w:rPr>
        <w:t>pprove the Operation Report of the Board of Directors in 2019, the te</w:t>
      </w:r>
      <w:r>
        <w:rPr>
          <w:rFonts w:ascii="Arial" w:hAnsi="Arial" w:cs="Arial"/>
          <w:sz w:val="20"/>
          <w:szCs w:val="20"/>
        </w:rPr>
        <w:t>rm 2015 - 2020 and directions for 2020, the term of 2020 – 2025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</w:t>
      </w:r>
      <w:r w:rsidR="00E17A1C" w:rsidRPr="00E17A1C">
        <w:rPr>
          <w:rFonts w:ascii="Arial" w:hAnsi="Arial" w:cs="Arial"/>
          <w:sz w:val="20"/>
          <w:szCs w:val="20"/>
        </w:rPr>
        <w:t xml:space="preserve">pprove the Operation Report of the Supervisory Board regarding verification of operational and financial situation in 2019, summarizing the term of 2015 - 2020 and orientation for the term of 2020 </w:t>
      </w:r>
      <w:r>
        <w:rPr>
          <w:rFonts w:ascii="Arial" w:hAnsi="Arial" w:cs="Arial"/>
          <w:sz w:val="20"/>
          <w:szCs w:val="20"/>
        </w:rPr>
        <w:t>–</w:t>
      </w:r>
      <w:r w:rsidR="00E17A1C" w:rsidRPr="00E17A1C">
        <w:rPr>
          <w:rFonts w:ascii="Arial" w:hAnsi="Arial" w:cs="Arial"/>
          <w:sz w:val="20"/>
          <w:szCs w:val="20"/>
        </w:rPr>
        <w:t xml:space="preserve"> 2025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results of</w:t>
      </w:r>
      <w:r>
        <w:rPr>
          <w:rFonts w:ascii="Arial" w:hAnsi="Arial" w:cs="Arial"/>
          <w:sz w:val="20"/>
          <w:szCs w:val="20"/>
        </w:rPr>
        <w:t xml:space="preserve"> election of</w:t>
      </w:r>
      <w:r w:rsidR="00E17A1C" w:rsidRPr="00E17A1C">
        <w:rPr>
          <w:rFonts w:ascii="Arial" w:hAnsi="Arial" w:cs="Arial"/>
          <w:sz w:val="20"/>
          <w:szCs w:val="20"/>
        </w:rPr>
        <w:t xml:space="preserve"> members of the Board of Directors and the </w:t>
      </w:r>
      <w:r>
        <w:rPr>
          <w:rFonts w:ascii="Arial" w:hAnsi="Arial" w:cs="Arial"/>
          <w:sz w:val="20"/>
          <w:szCs w:val="20"/>
        </w:rPr>
        <w:t>Supervisory Board</w:t>
      </w:r>
      <w:r w:rsidR="00E17A1C" w:rsidRPr="00E17A1C">
        <w:rPr>
          <w:rFonts w:ascii="Arial" w:hAnsi="Arial" w:cs="Arial"/>
          <w:sz w:val="20"/>
          <w:szCs w:val="20"/>
        </w:rPr>
        <w:t xml:space="preserve"> for the term</w:t>
      </w:r>
      <w:r>
        <w:rPr>
          <w:rFonts w:ascii="Arial" w:hAnsi="Arial" w:cs="Arial"/>
          <w:sz w:val="20"/>
          <w:szCs w:val="20"/>
        </w:rPr>
        <w:t xml:space="preserve"> II</w:t>
      </w:r>
      <w:r w:rsidR="00E17A1C" w:rsidRPr="00E17A1C">
        <w:rPr>
          <w:rFonts w:ascii="Arial" w:hAnsi="Arial" w:cs="Arial"/>
          <w:sz w:val="20"/>
          <w:szCs w:val="20"/>
        </w:rPr>
        <w:t xml:space="preserve"> (2020 - 2025): 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7A1C" w:rsidRPr="00E17A1C">
        <w:rPr>
          <w:rFonts w:ascii="Arial" w:hAnsi="Arial" w:cs="Arial"/>
          <w:sz w:val="20"/>
          <w:szCs w:val="20"/>
        </w:rPr>
        <w:t xml:space="preserve">Members of the Board of Directors include the following names: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Nguyen Van </w:t>
      </w:r>
      <w:proofErr w:type="spellStart"/>
      <w:r w:rsidRPr="00E17A1C">
        <w:rPr>
          <w:rFonts w:ascii="Arial" w:hAnsi="Arial" w:cs="Arial"/>
          <w:sz w:val="20"/>
          <w:szCs w:val="20"/>
        </w:rPr>
        <w:t>Hai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Trinh Van Tue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Dang </w:t>
      </w:r>
      <w:proofErr w:type="spellStart"/>
      <w:r w:rsidRPr="00E17A1C">
        <w:rPr>
          <w:rFonts w:ascii="Arial" w:hAnsi="Arial" w:cs="Arial"/>
          <w:sz w:val="20"/>
          <w:szCs w:val="20"/>
        </w:rPr>
        <w:t>Duc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Hung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Ngo </w:t>
      </w:r>
      <w:proofErr w:type="spellStart"/>
      <w:r w:rsidRPr="00E17A1C">
        <w:rPr>
          <w:rFonts w:ascii="Arial" w:hAnsi="Arial" w:cs="Arial"/>
          <w:sz w:val="20"/>
          <w:szCs w:val="20"/>
        </w:rPr>
        <w:t>Quoc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A1C">
        <w:rPr>
          <w:rFonts w:ascii="Arial" w:hAnsi="Arial" w:cs="Arial"/>
          <w:sz w:val="20"/>
          <w:szCs w:val="20"/>
        </w:rPr>
        <w:t>Trung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Bui Tien </w:t>
      </w:r>
      <w:proofErr w:type="spellStart"/>
      <w:r w:rsidRPr="00E17A1C">
        <w:rPr>
          <w:rFonts w:ascii="Arial" w:hAnsi="Arial" w:cs="Arial"/>
          <w:sz w:val="20"/>
          <w:szCs w:val="20"/>
        </w:rPr>
        <w:t>Hai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lastRenderedPageBreak/>
        <w:t xml:space="preserve">2. </w:t>
      </w:r>
      <w:r w:rsidR="00C33557">
        <w:rPr>
          <w:rFonts w:ascii="Arial" w:hAnsi="Arial" w:cs="Arial"/>
          <w:sz w:val="20"/>
          <w:szCs w:val="20"/>
        </w:rPr>
        <w:t>Members of the Supervisory Board consist</w:t>
      </w:r>
      <w:r w:rsidRPr="00E17A1C">
        <w:rPr>
          <w:rFonts w:ascii="Arial" w:hAnsi="Arial" w:cs="Arial"/>
          <w:sz w:val="20"/>
          <w:szCs w:val="20"/>
        </w:rPr>
        <w:t xml:space="preserve"> of the following names: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Luong Van </w:t>
      </w:r>
      <w:proofErr w:type="spellStart"/>
      <w:r w:rsidRPr="00E17A1C">
        <w:rPr>
          <w:rFonts w:ascii="Arial" w:hAnsi="Arial" w:cs="Arial"/>
          <w:sz w:val="20"/>
          <w:szCs w:val="20"/>
        </w:rPr>
        <w:t>Linh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Pham </w:t>
      </w:r>
      <w:proofErr w:type="spellStart"/>
      <w:r w:rsidRPr="00E17A1C">
        <w:rPr>
          <w:rFonts w:ascii="Arial" w:hAnsi="Arial" w:cs="Arial"/>
          <w:sz w:val="20"/>
          <w:szCs w:val="20"/>
        </w:rPr>
        <w:t>Xuan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A1C">
        <w:rPr>
          <w:rFonts w:ascii="Arial" w:hAnsi="Arial" w:cs="Arial"/>
          <w:sz w:val="20"/>
          <w:szCs w:val="20"/>
        </w:rPr>
        <w:t>Phong</w:t>
      </w:r>
      <w:proofErr w:type="spellEnd"/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C33557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Mr. Nguyen Nam Hung 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</w:t>
      </w:r>
      <w:r w:rsidR="00E17A1C" w:rsidRPr="00E17A1C">
        <w:rPr>
          <w:rFonts w:ascii="Arial" w:hAnsi="Arial" w:cs="Arial"/>
          <w:sz w:val="20"/>
          <w:szCs w:val="20"/>
        </w:rPr>
        <w:t xml:space="preserve"> the cons</w:t>
      </w:r>
      <w:r>
        <w:rPr>
          <w:rFonts w:ascii="Arial" w:hAnsi="Arial" w:cs="Arial"/>
          <w:sz w:val="20"/>
          <w:szCs w:val="20"/>
        </w:rPr>
        <w:t xml:space="preserve">olidated financial statements; financial statements </w:t>
      </w:r>
      <w:r w:rsidR="00E17A1C" w:rsidRPr="00E17A1C">
        <w:rPr>
          <w:rFonts w:ascii="Arial" w:hAnsi="Arial" w:cs="Arial"/>
          <w:sz w:val="20"/>
          <w:szCs w:val="20"/>
        </w:rPr>
        <w:t>of Parent Company - Corporation and profit distribution plan</w:t>
      </w:r>
      <w:r>
        <w:rPr>
          <w:rFonts w:ascii="Arial" w:hAnsi="Arial" w:cs="Arial"/>
          <w:sz w:val="20"/>
          <w:szCs w:val="20"/>
        </w:rPr>
        <w:t xml:space="preserve"> of</w:t>
      </w:r>
      <w:r w:rsidR="00E17A1C" w:rsidRPr="00E17A1C">
        <w:rPr>
          <w:rFonts w:ascii="Arial" w:hAnsi="Arial" w:cs="Arial"/>
          <w:sz w:val="20"/>
          <w:szCs w:val="20"/>
        </w:rPr>
        <w:t xml:space="preserve"> Parent company - </w:t>
      </w:r>
      <w:proofErr w:type="spellStart"/>
      <w:r w:rsidRPr="00C33557">
        <w:rPr>
          <w:rFonts w:ascii="Arial" w:hAnsi="Arial" w:cs="Arial"/>
          <w:sz w:val="20"/>
          <w:szCs w:val="20"/>
        </w:rPr>
        <w:t>Vinacomin</w:t>
      </w:r>
      <w:proofErr w:type="spellEnd"/>
      <w:r w:rsidRPr="00C33557">
        <w:rPr>
          <w:rFonts w:ascii="Arial" w:hAnsi="Arial" w:cs="Arial"/>
          <w:sz w:val="20"/>
          <w:szCs w:val="20"/>
        </w:rPr>
        <w:t xml:space="preserve"> - Minerals Holding Corporation</w:t>
      </w:r>
      <w:r>
        <w:rPr>
          <w:rFonts w:ascii="Arial" w:hAnsi="Arial" w:cs="Arial"/>
          <w:sz w:val="20"/>
          <w:szCs w:val="20"/>
        </w:rPr>
        <w:t xml:space="preserve">; </w:t>
      </w:r>
      <w:r w:rsidR="00E17A1C" w:rsidRPr="00E17A1C">
        <w:rPr>
          <w:rFonts w:ascii="Arial" w:hAnsi="Arial" w:cs="Arial"/>
          <w:sz w:val="20"/>
          <w:szCs w:val="20"/>
        </w:rPr>
        <w:t xml:space="preserve">Approve the results of salary payment in 2019 and </w:t>
      </w:r>
      <w:r>
        <w:rPr>
          <w:rFonts w:ascii="Arial" w:hAnsi="Arial" w:cs="Arial"/>
          <w:sz w:val="20"/>
          <w:szCs w:val="20"/>
        </w:rPr>
        <w:t>remuneration payment plan for 2020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7A1C" w:rsidRPr="00E17A1C">
        <w:rPr>
          <w:rFonts w:ascii="Arial" w:hAnsi="Arial" w:cs="Arial"/>
          <w:sz w:val="20"/>
          <w:szCs w:val="20"/>
        </w:rPr>
        <w:t xml:space="preserve">Consolidated </w:t>
      </w:r>
      <w:r>
        <w:rPr>
          <w:rFonts w:ascii="Arial" w:hAnsi="Arial" w:cs="Arial"/>
          <w:sz w:val="20"/>
          <w:szCs w:val="20"/>
        </w:rPr>
        <w:t>financial statement;</w:t>
      </w:r>
      <w:r w:rsidR="00E17A1C"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holding company financial statements</w:t>
      </w:r>
      <w:r w:rsidR="00E17A1C" w:rsidRPr="00E17A1C">
        <w:rPr>
          <w:rFonts w:ascii="Arial" w:hAnsi="Arial" w:cs="Arial"/>
          <w:sz w:val="20"/>
          <w:szCs w:val="20"/>
        </w:rPr>
        <w:t xml:space="preserve"> - Corporation </w:t>
      </w:r>
      <w:r>
        <w:rPr>
          <w:rFonts w:ascii="Arial" w:hAnsi="Arial" w:cs="Arial"/>
          <w:sz w:val="20"/>
          <w:szCs w:val="20"/>
        </w:rPr>
        <w:t>a</w:t>
      </w:r>
      <w:r w:rsidRPr="00E17A1C">
        <w:rPr>
          <w:rFonts w:ascii="Arial" w:hAnsi="Arial" w:cs="Arial"/>
          <w:sz w:val="20"/>
          <w:szCs w:val="20"/>
        </w:rPr>
        <w:t xml:space="preserve">udited </w:t>
      </w:r>
      <w:r w:rsidR="00E17A1C" w:rsidRPr="00E17A1C">
        <w:rPr>
          <w:rFonts w:ascii="Arial" w:hAnsi="Arial" w:cs="Arial"/>
          <w:sz w:val="20"/>
          <w:szCs w:val="20"/>
        </w:rPr>
        <w:t>in 2019 1</w:t>
      </w:r>
      <w:r>
        <w:rPr>
          <w:rFonts w:ascii="Arial" w:hAnsi="Arial" w:cs="Arial"/>
          <w:sz w:val="20"/>
          <w:szCs w:val="20"/>
        </w:rPr>
        <w:t>.1</w:t>
      </w:r>
      <w:r w:rsidR="00E17A1C" w:rsidRPr="00E17A1C">
        <w:rPr>
          <w:rFonts w:ascii="Arial" w:hAnsi="Arial" w:cs="Arial"/>
          <w:sz w:val="20"/>
          <w:szCs w:val="20"/>
        </w:rPr>
        <w:t xml:space="preserve"> Parent company</w:t>
      </w:r>
      <w:r>
        <w:rPr>
          <w:rFonts w:ascii="Arial" w:hAnsi="Arial" w:cs="Arial"/>
          <w:sz w:val="20"/>
          <w:szCs w:val="20"/>
        </w:rPr>
        <w:t xml:space="preserve"> -</w:t>
      </w:r>
      <w:r w:rsidR="00E17A1C" w:rsidRPr="00E17A1C">
        <w:rPr>
          <w:rFonts w:ascii="Arial" w:hAnsi="Arial" w:cs="Arial"/>
          <w:sz w:val="20"/>
          <w:szCs w:val="20"/>
        </w:rPr>
        <w:t xml:space="preserve"> Corporation </w:t>
      </w:r>
    </w:p>
    <w:p w:rsidR="00E17A1C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1</w:t>
      </w:r>
      <w:r w:rsidR="00C33557">
        <w:rPr>
          <w:rFonts w:ascii="Arial" w:hAnsi="Arial" w:cs="Arial"/>
          <w:sz w:val="20"/>
          <w:szCs w:val="20"/>
        </w:rPr>
        <w:t>.1.1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C33557">
        <w:rPr>
          <w:rFonts w:ascii="Arial" w:hAnsi="Arial" w:cs="Arial"/>
          <w:sz w:val="20"/>
          <w:szCs w:val="20"/>
        </w:rPr>
        <w:t>Balance sheet</w:t>
      </w:r>
    </w:p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million dongs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2610"/>
        <w:gridCol w:w="3978"/>
      </w:tblGrid>
      <w:tr w:rsidR="00C33557" w:rsidTr="00957E9B">
        <w:tc>
          <w:tcPr>
            <w:tcW w:w="558" w:type="dxa"/>
          </w:tcPr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30" w:type="dxa"/>
          </w:tcPr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610" w:type="dxa"/>
          </w:tcPr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at the</w:t>
            </w:r>
            <w:r w:rsidR="00957E9B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end</w:t>
            </w:r>
          </w:p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2019</w:t>
            </w:r>
          </w:p>
        </w:tc>
        <w:tc>
          <w:tcPr>
            <w:tcW w:w="3978" w:type="dxa"/>
          </w:tcPr>
          <w:p w:rsidR="00957E9B" w:rsidRDefault="00957E9B" w:rsidP="00957E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at the beginning of the year</w:t>
            </w:r>
          </w:p>
          <w:p w:rsidR="00957E9B" w:rsidRDefault="00957E9B" w:rsidP="00957E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Jan 2019</w:t>
            </w:r>
          </w:p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Current assets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Long-term assets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30" w:type="dxa"/>
          </w:tcPr>
          <w:p w:rsidR="00C33557" w:rsidRDefault="00957E9B" w:rsidP="00957E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capital 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Payable debts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074</w:t>
            </w:r>
          </w:p>
        </w:tc>
      </w:tr>
      <w:tr w:rsidR="00C33557" w:rsidTr="00957E9B">
        <w:tc>
          <w:tcPr>
            <w:tcW w:w="55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C33557" w:rsidTr="00957E9B">
        <w:tc>
          <w:tcPr>
            <w:tcW w:w="558" w:type="dxa"/>
          </w:tcPr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Charter capital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33557" w:rsidTr="00957E9B">
        <w:tc>
          <w:tcPr>
            <w:tcW w:w="558" w:type="dxa"/>
          </w:tcPr>
          <w:p w:rsidR="00C33557" w:rsidRDefault="00C3355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</w:t>
            </w:r>
          </w:p>
        </w:tc>
        <w:tc>
          <w:tcPr>
            <w:tcW w:w="2610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3978" w:type="dxa"/>
          </w:tcPr>
          <w:p w:rsidR="00C33557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</w:tbl>
    <w:p w:rsidR="00C33557" w:rsidRDefault="00C33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E9B" w:rsidRDefault="00957E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1.1.2 </w:t>
      </w:r>
      <w:r w:rsidR="00E17A1C" w:rsidRPr="00E17A1C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 xml:space="preserve">and </w:t>
      </w:r>
      <w:r w:rsidR="00E17A1C" w:rsidRPr="00E17A1C">
        <w:rPr>
          <w:rFonts w:ascii="Arial" w:hAnsi="Arial" w:cs="Arial"/>
          <w:sz w:val="20"/>
          <w:szCs w:val="20"/>
        </w:rPr>
        <w:t xml:space="preserve">production results: </w:t>
      </w:r>
    </w:p>
    <w:p w:rsidR="00957E9B" w:rsidRDefault="00957E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</w:t>
      </w:r>
      <w:r w:rsidR="00E17A1C" w:rsidRPr="00E17A1C">
        <w:rPr>
          <w:rFonts w:ascii="Arial" w:hAnsi="Arial" w:cs="Arial"/>
          <w:sz w:val="20"/>
          <w:szCs w:val="20"/>
        </w:rPr>
        <w:t xml:space="preserve">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5238"/>
      </w:tblGrid>
      <w:tr w:rsidR="00957E9B" w:rsidTr="00957E9B">
        <w:tc>
          <w:tcPr>
            <w:tcW w:w="55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523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</w:tr>
      <w:tr w:rsidR="00957E9B" w:rsidTr="00957E9B">
        <w:tc>
          <w:tcPr>
            <w:tcW w:w="55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523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</w:tr>
      <w:tr w:rsidR="00957E9B" w:rsidTr="00957E9B">
        <w:tc>
          <w:tcPr>
            <w:tcW w:w="55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523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</w:tr>
      <w:tr w:rsidR="00957E9B" w:rsidTr="00957E9B">
        <w:tc>
          <w:tcPr>
            <w:tcW w:w="55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profit after tax</w:t>
            </w:r>
          </w:p>
        </w:tc>
        <w:tc>
          <w:tcPr>
            <w:tcW w:w="5238" w:type="dxa"/>
          </w:tcPr>
          <w:p w:rsidR="00957E9B" w:rsidRDefault="00957E9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</w:tr>
    </w:tbl>
    <w:p w:rsidR="00957E9B" w:rsidRDefault="00957E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E9B" w:rsidRDefault="00957E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 </w:t>
      </w:r>
      <w:r w:rsidR="00E17A1C" w:rsidRPr="00E17A1C">
        <w:rPr>
          <w:rFonts w:ascii="Arial" w:hAnsi="Arial" w:cs="Arial"/>
          <w:sz w:val="20"/>
          <w:szCs w:val="20"/>
        </w:rPr>
        <w:t xml:space="preserve">Consolidation of the Corporation </w:t>
      </w:r>
    </w:p>
    <w:p w:rsidR="00957E9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1.</w:t>
      </w:r>
      <w:r w:rsidR="00957E9B">
        <w:rPr>
          <w:rFonts w:ascii="Arial" w:hAnsi="Arial" w:cs="Arial"/>
          <w:sz w:val="20"/>
          <w:szCs w:val="20"/>
        </w:rPr>
        <w:t xml:space="preserve">2.1 </w:t>
      </w:r>
      <w:r w:rsidRPr="00E17A1C">
        <w:rPr>
          <w:rFonts w:ascii="Arial" w:hAnsi="Arial" w:cs="Arial"/>
          <w:sz w:val="20"/>
          <w:szCs w:val="20"/>
        </w:rPr>
        <w:t xml:space="preserve">Balance sheet </w:t>
      </w:r>
    </w:p>
    <w:p w:rsidR="00957E9B" w:rsidRDefault="00957E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million dongs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2520"/>
        <w:gridCol w:w="3168"/>
      </w:tblGrid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252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at the year end</w:t>
            </w:r>
          </w:p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2019</w:t>
            </w:r>
          </w:p>
        </w:tc>
        <w:tc>
          <w:tcPr>
            <w:tcW w:w="316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at the beginning of the year</w:t>
            </w:r>
          </w:p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Jan 2019</w:t>
            </w:r>
          </w:p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930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Current assets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Long-term assets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>,492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capital 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930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Payable debts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17A1C">
              <w:rPr>
                <w:rFonts w:ascii="Arial" w:hAnsi="Arial" w:cs="Arial"/>
                <w:sz w:val="20"/>
                <w:szCs w:val="20"/>
              </w:rPr>
              <w:t>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17A1C">
              <w:rPr>
                <w:rFonts w:ascii="Arial" w:hAnsi="Arial" w:cs="Arial"/>
                <w:sz w:val="20"/>
                <w:szCs w:val="20"/>
              </w:rPr>
              <w:t>585</w:t>
            </w:r>
            <w:r>
              <w:rPr>
                <w:rFonts w:ascii="Arial" w:hAnsi="Arial" w:cs="Arial"/>
                <w:sz w:val="20"/>
                <w:szCs w:val="20"/>
              </w:rPr>
              <w:t>,260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Charter capital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957E9B" w:rsidTr="00E3085A">
        <w:tc>
          <w:tcPr>
            <w:tcW w:w="558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7E9B" w:rsidRDefault="00957E9B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</w:t>
            </w:r>
          </w:p>
        </w:tc>
        <w:tc>
          <w:tcPr>
            <w:tcW w:w="2520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</w:t>
            </w:r>
            <w:r w:rsidRPr="00E17A1C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168" w:type="dxa"/>
          </w:tcPr>
          <w:p w:rsidR="00957E9B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170,197</w:t>
            </w:r>
          </w:p>
        </w:tc>
      </w:tr>
    </w:tbl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085A" w:rsidRDefault="00E3085A" w:rsidP="00E30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1.2.2 </w:t>
      </w:r>
      <w:r w:rsidRPr="00E17A1C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 xml:space="preserve">and </w:t>
      </w:r>
      <w:r w:rsidRPr="00E17A1C">
        <w:rPr>
          <w:rFonts w:ascii="Arial" w:hAnsi="Arial" w:cs="Arial"/>
          <w:sz w:val="20"/>
          <w:szCs w:val="20"/>
        </w:rPr>
        <w:t xml:space="preserve">production results: </w:t>
      </w:r>
    </w:p>
    <w:p w:rsidR="00E3085A" w:rsidRDefault="00E3085A" w:rsidP="00E30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Unit: </w:t>
      </w:r>
      <w:r w:rsidRPr="00E17A1C">
        <w:rPr>
          <w:rFonts w:ascii="Arial" w:hAnsi="Arial" w:cs="Arial"/>
          <w:sz w:val="20"/>
          <w:szCs w:val="20"/>
        </w:rPr>
        <w:t xml:space="preserve">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5238"/>
      </w:tblGrid>
      <w:tr w:rsidR="00E3085A" w:rsidTr="00E3085A">
        <w:tc>
          <w:tcPr>
            <w:tcW w:w="55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523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</w:tr>
      <w:tr w:rsidR="00E3085A" w:rsidTr="00E3085A">
        <w:tc>
          <w:tcPr>
            <w:tcW w:w="55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523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6,202,716</w:t>
            </w:r>
          </w:p>
        </w:tc>
      </w:tr>
      <w:tr w:rsidR="00E3085A" w:rsidTr="00E3085A">
        <w:tc>
          <w:tcPr>
            <w:tcW w:w="55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523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15,511</w:t>
            </w:r>
          </w:p>
        </w:tc>
      </w:tr>
      <w:tr w:rsidR="00E3085A" w:rsidTr="00E3085A">
        <w:tc>
          <w:tcPr>
            <w:tcW w:w="55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Total profit after tax</w:t>
            </w:r>
          </w:p>
        </w:tc>
        <w:tc>
          <w:tcPr>
            <w:tcW w:w="5238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-43,023</w:t>
            </w:r>
          </w:p>
        </w:tc>
      </w:tr>
    </w:tbl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2</w:t>
      </w:r>
      <w:r w:rsidR="00E3085A">
        <w:rPr>
          <w:rFonts w:ascii="Arial" w:hAnsi="Arial" w:cs="Arial"/>
          <w:sz w:val="20"/>
          <w:szCs w:val="20"/>
        </w:rPr>
        <w:t>.</w:t>
      </w:r>
      <w:r w:rsidRPr="00E17A1C">
        <w:rPr>
          <w:rFonts w:ascii="Arial" w:hAnsi="Arial" w:cs="Arial"/>
          <w:sz w:val="20"/>
          <w:szCs w:val="20"/>
        </w:rPr>
        <w:t xml:space="preserve"> Profit distribution plan of the Parent company in 2019 </w:t>
      </w: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Total profit after tax in 2019: </w:t>
      </w:r>
      <w:r w:rsidR="00E3085A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106</w:t>
      </w:r>
      <w:r w:rsidR="00E3085A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70</w:t>
      </w:r>
      <w:r w:rsidR="00D7401E">
        <w:rPr>
          <w:rFonts w:ascii="Arial" w:hAnsi="Arial" w:cs="Arial"/>
          <w:sz w:val="20"/>
          <w:szCs w:val="20"/>
        </w:rPr>
        <w:t>6</w:t>
      </w:r>
      <w:r w:rsidRPr="00E17A1C">
        <w:rPr>
          <w:rFonts w:ascii="Arial" w:hAnsi="Arial" w:cs="Arial"/>
          <w:sz w:val="20"/>
          <w:szCs w:val="20"/>
        </w:rPr>
        <w:t xml:space="preserve"> million </w:t>
      </w: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Total profit after tax distributed: </w:t>
      </w:r>
      <w:r w:rsidR="00E3085A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79</w:t>
      </w:r>
      <w:r w:rsidR="00E3085A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326 million </w:t>
      </w: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+ Dividend payment (3%): </w:t>
      </w:r>
      <w:r w:rsidR="00E3085A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60</w:t>
      </w:r>
      <w:r w:rsidR="00E3085A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000 million </w:t>
      </w:r>
    </w:p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Deduction to welfare and reward fund</w:t>
      </w:r>
      <w:r w:rsidR="00E17A1C" w:rsidRPr="00E17A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E17A1C" w:rsidRPr="00E17A1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,</w:t>
      </w:r>
      <w:r w:rsidR="00E17A1C" w:rsidRPr="00E17A1C">
        <w:rPr>
          <w:rFonts w:ascii="Arial" w:hAnsi="Arial" w:cs="Arial"/>
          <w:sz w:val="20"/>
          <w:szCs w:val="20"/>
        </w:rPr>
        <w:t xml:space="preserve">023 million </w:t>
      </w:r>
    </w:p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Deduction to</w:t>
      </w:r>
      <w:r w:rsidR="00E17A1C" w:rsidRPr="00E17A1C">
        <w:rPr>
          <w:rFonts w:ascii="Arial" w:hAnsi="Arial" w:cs="Arial"/>
          <w:sz w:val="20"/>
          <w:szCs w:val="20"/>
        </w:rPr>
        <w:t xml:space="preserve"> reward fund for enterprise managers: </w:t>
      </w:r>
      <w:r>
        <w:rPr>
          <w:rFonts w:ascii="Arial" w:hAnsi="Arial" w:cs="Arial"/>
          <w:sz w:val="20"/>
          <w:szCs w:val="20"/>
        </w:rPr>
        <w:t xml:space="preserve">VND </w:t>
      </w:r>
      <w:r w:rsidR="00E17A1C" w:rsidRPr="00E17A1C">
        <w:rPr>
          <w:rFonts w:ascii="Arial" w:hAnsi="Arial" w:cs="Arial"/>
          <w:sz w:val="20"/>
          <w:szCs w:val="20"/>
        </w:rPr>
        <w:t xml:space="preserve">303 million </w:t>
      </w:r>
    </w:p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E17A1C" w:rsidRPr="00E17A1C">
        <w:rPr>
          <w:rFonts w:ascii="Arial" w:hAnsi="Arial" w:cs="Arial"/>
          <w:sz w:val="20"/>
          <w:szCs w:val="20"/>
        </w:rPr>
        <w:t>Results of paying salaries and remuneration of the Board of Directors, the Supervisory Board and the Corporation's manager</w:t>
      </w:r>
      <w:r>
        <w:rPr>
          <w:rFonts w:ascii="Arial" w:hAnsi="Arial" w:cs="Arial"/>
          <w:sz w:val="20"/>
          <w:szCs w:val="20"/>
        </w:rPr>
        <w:t>s</w:t>
      </w:r>
      <w:r w:rsidR="00E17A1C" w:rsidRPr="00E17A1C">
        <w:rPr>
          <w:rFonts w:ascii="Arial" w:hAnsi="Arial" w:cs="Arial"/>
          <w:sz w:val="20"/>
          <w:szCs w:val="20"/>
        </w:rPr>
        <w:t xml:space="preserve"> in 2019 and the 2020 plan </w:t>
      </w: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3</w:t>
      </w:r>
      <w:r w:rsidR="00E3085A">
        <w:rPr>
          <w:rFonts w:ascii="Arial" w:hAnsi="Arial" w:cs="Arial"/>
          <w:sz w:val="20"/>
          <w:szCs w:val="20"/>
        </w:rPr>
        <w:t>.1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E3085A">
        <w:rPr>
          <w:rFonts w:ascii="Arial" w:hAnsi="Arial" w:cs="Arial"/>
          <w:sz w:val="20"/>
          <w:szCs w:val="20"/>
        </w:rPr>
        <w:t>Realization of</w:t>
      </w:r>
      <w:r w:rsidRPr="00E17A1C">
        <w:rPr>
          <w:rFonts w:ascii="Arial" w:hAnsi="Arial" w:cs="Arial"/>
          <w:sz w:val="20"/>
          <w:szCs w:val="20"/>
        </w:rPr>
        <w:t xml:space="preserve"> 2019 </w:t>
      </w:r>
    </w:p>
    <w:p w:rsidR="00E3085A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3</w:t>
      </w:r>
      <w:r w:rsidR="00E3085A">
        <w:rPr>
          <w:rFonts w:ascii="Arial" w:hAnsi="Arial" w:cs="Arial"/>
          <w:sz w:val="20"/>
          <w:szCs w:val="20"/>
        </w:rPr>
        <w:t xml:space="preserve">.1.1 </w:t>
      </w:r>
      <w:r w:rsidRPr="00E17A1C">
        <w:rPr>
          <w:rFonts w:ascii="Arial" w:hAnsi="Arial" w:cs="Arial"/>
          <w:sz w:val="20"/>
          <w:szCs w:val="20"/>
        </w:rPr>
        <w:t xml:space="preserve">Salary of the </w:t>
      </w:r>
      <w:r w:rsidR="00E3085A" w:rsidRPr="00E17A1C">
        <w:rPr>
          <w:rFonts w:ascii="Arial" w:hAnsi="Arial" w:cs="Arial"/>
          <w:sz w:val="20"/>
          <w:szCs w:val="20"/>
        </w:rPr>
        <w:t xml:space="preserve">specialized </w:t>
      </w:r>
      <w:r w:rsidR="00E3085A">
        <w:rPr>
          <w:rFonts w:ascii="Arial" w:hAnsi="Arial" w:cs="Arial"/>
          <w:sz w:val="20"/>
          <w:szCs w:val="20"/>
        </w:rPr>
        <w:t>Manager of the</w:t>
      </w:r>
      <w:r w:rsidRPr="00E17A1C">
        <w:rPr>
          <w:rFonts w:ascii="Arial" w:hAnsi="Arial" w:cs="Arial"/>
          <w:sz w:val="20"/>
          <w:szCs w:val="20"/>
        </w:rPr>
        <w:t xml:space="preserve"> Corporation</w:t>
      </w:r>
    </w:p>
    <w:p w:rsidR="00E3085A" w:rsidRDefault="00E3085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</w:t>
      </w:r>
      <w:r w:rsidR="00E17A1C" w:rsidRPr="00E17A1C">
        <w:rPr>
          <w:rFonts w:ascii="Arial" w:hAnsi="Arial" w:cs="Arial"/>
          <w:sz w:val="20"/>
          <w:szCs w:val="20"/>
        </w:rPr>
        <w:t xml:space="preserve">: 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225"/>
        <w:gridCol w:w="2340"/>
        <w:gridCol w:w="2178"/>
      </w:tblGrid>
      <w:tr w:rsidR="00E3085A" w:rsidTr="00B95D2B">
        <w:tc>
          <w:tcPr>
            <w:tcW w:w="473" w:type="dxa"/>
          </w:tcPr>
          <w:p w:rsidR="00E3085A" w:rsidRDefault="00E3085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E3085A" w:rsidRDefault="00E3085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225" w:type="dxa"/>
          </w:tcPr>
          <w:p w:rsidR="00E3085A" w:rsidRDefault="00E3085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2340" w:type="dxa"/>
          </w:tcPr>
          <w:p w:rsidR="00E3085A" w:rsidRDefault="00E3085A" w:rsidP="00E308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 2019</w:t>
            </w:r>
          </w:p>
        </w:tc>
        <w:tc>
          <w:tcPr>
            <w:tcW w:w="2178" w:type="dxa"/>
          </w:tcPr>
          <w:p w:rsidR="00E3085A" w:rsidRDefault="00E3085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B95D2B" w:rsidTr="00B95D2B">
        <w:tc>
          <w:tcPr>
            <w:tcW w:w="473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General Director</w:t>
            </w:r>
          </w:p>
        </w:tc>
        <w:tc>
          <w:tcPr>
            <w:tcW w:w="1225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40" w:type="dxa"/>
          </w:tcPr>
          <w:p w:rsidR="00B95D2B" w:rsidRDefault="00B95D2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78" w:type="dxa"/>
          </w:tcPr>
          <w:p w:rsidR="00B95D2B" w:rsidRDefault="00B95D2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95D2B" w:rsidTr="00B95D2B">
        <w:tc>
          <w:tcPr>
            <w:tcW w:w="473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Deputy General Director</w:t>
            </w:r>
          </w:p>
        </w:tc>
        <w:tc>
          <w:tcPr>
            <w:tcW w:w="1225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4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E17A1C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78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95D2B" w:rsidTr="00B95D2B">
        <w:tc>
          <w:tcPr>
            <w:tcW w:w="473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225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4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78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95D2B" w:rsidTr="00B95D2B">
        <w:tc>
          <w:tcPr>
            <w:tcW w:w="473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25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340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78" w:type="dxa"/>
          </w:tcPr>
          <w:p w:rsidR="00B95D2B" w:rsidRDefault="00B95D2B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18777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 </w:t>
      </w:r>
    </w:p>
    <w:p w:rsidR="00E4740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3</w:t>
      </w:r>
      <w:r w:rsidR="00E4740B">
        <w:rPr>
          <w:rFonts w:ascii="Arial" w:hAnsi="Arial" w:cs="Arial"/>
          <w:sz w:val="20"/>
          <w:szCs w:val="20"/>
        </w:rPr>
        <w:t>.1.2 Salary of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E4740B">
        <w:rPr>
          <w:rFonts w:ascii="Arial" w:hAnsi="Arial" w:cs="Arial"/>
          <w:sz w:val="20"/>
          <w:szCs w:val="20"/>
        </w:rPr>
        <w:t>member of Board of Directors, Head of Supervisory Board</w:t>
      </w:r>
    </w:p>
    <w:p w:rsidR="00E4740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Unit: VND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00"/>
        <w:gridCol w:w="1800"/>
        <w:gridCol w:w="2160"/>
        <w:gridCol w:w="2358"/>
      </w:tblGrid>
      <w:tr w:rsidR="00E4740B" w:rsidTr="000871EB">
        <w:tc>
          <w:tcPr>
            <w:tcW w:w="5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216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of 2019</w:t>
            </w:r>
          </w:p>
        </w:tc>
        <w:tc>
          <w:tcPr>
            <w:tcW w:w="23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</w:tr>
      <w:tr w:rsidR="00E4740B" w:rsidTr="000871EB">
        <w:tc>
          <w:tcPr>
            <w:tcW w:w="5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8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6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167,932,000</w:t>
            </w:r>
          </w:p>
        </w:tc>
        <w:tc>
          <w:tcPr>
            <w:tcW w:w="23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167,932,000</w:t>
            </w:r>
          </w:p>
        </w:tc>
      </w:tr>
      <w:tr w:rsidR="00E4740B" w:rsidTr="000871EB">
        <w:tc>
          <w:tcPr>
            <w:tcW w:w="5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8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6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464,484,000</w:t>
            </w:r>
          </w:p>
        </w:tc>
        <w:tc>
          <w:tcPr>
            <w:tcW w:w="23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464,484,000</w:t>
            </w:r>
          </w:p>
        </w:tc>
      </w:tr>
      <w:tr w:rsidR="00E4740B" w:rsidTr="000871EB">
        <w:tc>
          <w:tcPr>
            <w:tcW w:w="5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632,416,000</w:t>
            </w:r>
          </w:p>
        </w:tc>
        <w:tc>
          <w:tcPr>
            <w:tcW w:w="2358" w:type="dxa"/>
          </w:tcPr>
          <w:p w:rsidR="00E4740B" w:rsidRDefault="00E4740B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632,416,000</w:t>
            </w:r>
          </w:p>
        </w:tc>
      </w:tr>
    </w:tbl>
    <w:p w:rsidR="00E4740B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form: Directly paid by </w:t>
      </w:r>
      <w:proofErr w:type="spellStart"/>
      <w:r>
        <w:rPr>
          <w:rFonts w:ascii="Arial" w:hAnsi="Arial" w:cs="Arial"/>
          <w:sz w:val="20"/>
          <w:szCs w:val="20"/>
        </w:rPr>
        <w:t>Vimico</w:t>
      </w:r>
      <w:proofErr w:type="spellEnd"/>
    </w:p>
    <w:p w:rsidR="00E4740B" w:rsidRDefault="00E474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 Remuneration of </w:t>
      </w:r>
      <w:r w:rsidR="00A0779E">
        <w:rPr>
          <w:rFonts w:ascii="Arial" w:hAnsi="Arial" w:cs="Arial"/>
          <w:sz w:val="20"/>
          <w:szCs w:val="20"/>
        </w:rPr>
        <w:t xml:space="preserve">non-standing </w:t>
      </w:r>
      <w:r>
        <w:rPr>
          <w:rFonts w:ascii="Arial" w:hAnsi="Arial" w:cs="Arial"/>
          <w:sz w:val="20"/>
          <w:szCs w:val="20"/>
        </w:rPr>
        <w:t xml:space="preserve">member of Board of Directors, head of Supervisory Board </w:t>
      </w:r>
      <w:r w:rsidR="00A0779E">
        <w:rPr>
          <w:rFonts w:ascii="Arial" w:hAnsi="Arial" w:cs="Arial"/>
          <w:sz w:val="20"/>
          <w:szCs w:val="20"/>
        </w:rPr>
        <w:t>(20% of basic salary)</w:t>
      </w:r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225"/>
        <w:gridCol w:w="2340"/>
        <w:gridCol w:w="2178"/>
      </w:tblGrid>
      <w:tr w:rsidR="00A0779E" w:rsidTr="000871EB">
        <w:tc>
          <w:tcPr>
            <w:tcW w:w="473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225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234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 2019</w:t>
            </w:r>
          </w:p>
        </w:tc>
        <w:tc>
          <w:tcPr>
            <w:tcW w:w="217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A0779E" w:rsidTr="000871EB">
        <w:tc>
          <w:tcPr>
            <w:tcW w:w="473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225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4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76,800,000</w:t>
            </w:r>
          </w:p>
        </w:tc>
        <w:tc>
          <w:tcPr>
            <w:tcW w:w="217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74,400,000</w:t>
            </w:r>
          </w:p>
        </w:tc>
      </w:tr>
      <w:tr w:rsidR="00A0779E" w:rsidTr="000871EB">
        <w:tc>
          <w:tcPr>
            <w:tcW w:w="473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225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4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208,800,000</w:t>
            </w:r>
          </w:p>
        </w:tc>
        <w:tc>
          <w:tcPr>
            <w:tcW w:w="217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169,200,000</w:t>
            </w:r>
          </w:p>
        </w:tc>
      </w:tr>
      <w:tr w:rsidR="00A0779E" w:rsidTr="000871EB">
        <w:tc>
          <w:tcPr>
            <w:tcW w:w="473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225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4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129,600,000</w:t>
            </w:r>
          </w:p>
        </w:tc>
        <w:tc>
          <w:tcPr>
            <w:tcW w:w="217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124,800,000</w:t>
            </w:r>
          </w:p>
        </w:tc>
      </w:tr>
      <w:tr w:rsidR="00A0779E" w:rsidTr="000871EB">
        <w:tc>
          <w:tcPr>
            <w:tcW w:w="473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25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34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415,200,000</w:t>
            </w:r>
          </w:p>
        </w:tc>
        <w:tc>
          <w:tcPr>
            <w:tcW w:w="217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368,400,000</w:t>
            </w:r>
          </w:p>
        </w:tc>
      </w:tr>
    </w:tbl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form:</w:t>
      </w:r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Transfer to TKV for remuneration of representative of TKV</w:t>
      </w:r>
      <w:r w:rsidRPr="00A07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receives salary of TKV</w:t>
      </w:r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Vimico</w:t>
      </w:r>
      <w:proofErr w:type="spellEnd"/>
      <w:r>
        <w:rPr>
          <w:rFonts w:ascii="Arial" w:hAnsi="Arial" w:cs="Arial"/>
          <w:sz w:val="20"/>
          <w:szCs w:val="20"/>
        </w:rPr>
        <w:t xml:space="preserve"> directly pays remuneration of representative of TKV who receives salary of </w:t>
      </w:r>
      <w:proofErr w:type="spellStart"/>
      <w:r>
        <w:rPr>
          <w:rFonts w:ascii="Arial" w:hAnsi="Arial" w:cs="Arial"/>
          <w:sz w:val="20"/>
          <w:szCs w:val="20"/>
        </w:rPr>
        <w:t>Vimico</w:t>
      </w:r>
      <w:proofErr w:type="spellEnd"/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Plan 2020</w:t>
      </w:r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 Salary of standing member of Board of Directors, head of Supervisory Board </w:t>
      </w:r>
    </w:p>
    <w:p w:rsidR="00A0779E" w:rsidRDefault="00A077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00"/>
        <w:gridCol w:w="1800"/>
        <w:gridCol w:w="2160"/>
        <w:gridCol w:w="2358"/>
      </w:tblGrid>
      <w:tr w:rsidR="00A0779E" w:rsidTr="000871EB">
        <w:tc>
          <w:tcPr>
            <w:tcW w:w="55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21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plan of 2019</w:t>
            </w:r>
          </w:p>
        </w:tc>
        <w:tc>
          <w:tcPr>
            <w:tcW w:w="235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</w:tr>
      <w:tr w:rsidR="00A0779E" w:rsidTr="000871EB">
        <w:tc>
          <w:tcPr>
            <w:tcW w:w="55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800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60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383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58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596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0779E" w:rsidTr="000871EB">
        <w:tc>
          <w:tcPr>
            <w:tcW w:w="55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800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60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619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58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415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0779E" w:rsidTr="000871EB">
        <w:tc>
          <w:tcPr>
            <w:tcW w:w="558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60" w:type="dxa"/>
          </w:tcPr>
          <w:p w:rsidR="00A0779E" w:rsidRDefault="00A0779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A0779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816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1C385E" w:rsidRDefault="001C38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385E" w:rsidRDefault="001C38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3.2.2 </w:t>
      </w:r>
      <w:r w:rsidR="00E17A1C" w:rsidRPr="00E17A1C">
        <w:rPr>
          <w:rFonts w:ascii="Arial" w:hAnsi="Arial" w:cs="Arial"/>
          <w:sz w:val="20"/>
          <w:szCs w:val="20"/>
        </w:rPr>
        <w:t xml:space="preserve">Remuneration of the Chairman of the </w:t>
      </w:r>
      <w:r>
        <w:rPr>
          <w:rFonts w:ascii="Arial" w:hAnsi="Arial" w:cs="Arial"/>
          <w:sz w:val="20"/>
          <w:szCs w:val="20"/>
        </w:rPr>
        <w:t>Board of Directors</w:t>
      </w:r>
      <w:r w:rsidR="00E17A1C" w:rsidRPr="00E17A1C">
        <w:rPr>
          <w:rFonts w:ascii="Arial" w:hAnsi="Arial" w:cs="Arial"/>
          <w:sz w:val="20"/>
          <w:szCs w:val="20"/>
        </w:rPr>
        <w:t>, the</w:t>
      </w:r>
      <w:r>
        <w:rPr>
          <w:rFonts w:ascii="Arial" w:hAnsi="Arial" w:cs="Arial"/>
          <w:sz w:val="20"/>
          <w:szCs w:val="20"/>
        </w:rPr>
        <w:t xml:space="preserve"> member of</w:t>
      </w:r>
      <w:r w:rsidR="00E17A1C" w:rsidRPr="00E17A1C">
        <w:rPr>
          <w:rFonts w:ascii="Arial" w:hAnsi="Arial" w:cs="Arial"/>
          <w:sz w:val="20"/>
          <w:szCs w:val="20"/>
        </w:rPr>
        <w:t xml:space="preserve"> Board of Directors, the </w:t>
      </w:r>
      <w:r>
        <w:rPr>
          <w:rFonts w:ascii="Arial" w:hAnsi="Arial" w:cs="Arial"/>
          <w:sz w:val="20"/>
          <w:szCs w:val="20"/>
        </w:rPr>
        <w:t xml:space="preserve">non-standing </w:t>
      </w:r>
      <w:r w:rsidR="00E17A1C" w:rsidRPr="00E17A1C">
        <w:rPr>
          <w:rFonts w:ascii="Arial" w:hAnsi="Arial" w:cs="Arial"/>
          <w:sz w:val="20"/>
          <w:szCs w:val="20"/>
        </w:rPr>
        <w:t xml:space="preserve">member of Supervisory Board </w:t>
      </w:r>
      <w:r>
        <w:rPr>
          <w:rFonts w:ascii="Arial" w:hAnsi="Arial" w:cs="Arial"/>
          <w:sz w:val="20"/>
          <w:szCs w:val="20"/>
        </w:rPr>
        <w:t>(</w:t>
      </w:r>
      <w:r w:rsidR="00E17A1C" w:rsidRPr="00E17A1C">
        <w:rPr>
          <w:rFonts w:ascii="Arial" w:hAnsi="Arial" w:cs="Arial"/>
          <w:sz w:val="20"/>
          <w:szCs w:val="20"/>
        </w:rPr>
        <w:t>20% of the basic salary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155"/>
        <w:gridCol w:w="1360"/>
        <w:gridCol w:w="1360"/>
        <w:gridCol w:w="1355"/>
        <w:gridCol w:w="1395"/>
        <w:gridCol w:w="1395"/>
      </w:tblGrid>
      <w:tr w:rsidR="001C385E" w:rsidTr="001C385E">
        <w:tc>
          <w:tcPr>
            <w:tcW w:w="556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salary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13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Monthly remuneration 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remuneration </w:t>
            </w:r>
          </w:p>
        </w:tc>
      </w:tr>
      <w:tr w:rsidR="001C385E" w:rsidTr="001C385E">
        <w:tc>
          <w:tcPr>
            <w:tcW w:w="556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1C385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31,000,000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Pr="00E17A1C">
              <w:rPr>
                <w:rFonts w:ascii="Arial" w:hAnsi="Arial" w:cs="Arial"/>
                <w:sz w:val="20"/>
                <w:szCs w:val="20"/>
              </w:rPr>
              <w:t xml:space="preserve">200,000  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C385E" w:rsidTr="001C385E">
        <w:tc>
          <w:tcPr>
            <w:tcW w:w="556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1C385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C385E" w:rsidTr="001C385E">
        <w:tc>
          <w:tcPr>
            <w:tcW w:w="556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C385E" w:rsidRDefault="001C385E" w:rsidP="000871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C385E" w:rsidTr="001C385E">
        <w:tc>
          <w:tcPr>
            <w:tcW w:w="556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5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1C385E" w:rsidRDefault="001C385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A1C">
              <w:rPr>
                <w:rFonts w:ascii="Arial" w:hAnsi="Arial" w:cs="Arial"/>
                <w:sz w:val="20"/>
                <w:szCs w:val="20"/>
              </w:rPr>
              <w:t>388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7A1C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</w:tbl>
    <w:p w:rsidR="001C385E" w:rsidRDefault="001C38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385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Article 8</w:t>
      </w:r>
      <w:r w:rsidR="001C385E">
        <w:rPr>
          <w:rFonts w:ascii="Arial" w:hAnsi="Arial" w:cs="Arial"/>
          <w:sz w:val="20"/>
          <w:szCs w:val="20"/>
        </w:rPr>
        <w:t>:</w:t>
      </w:r>
      <w:r w:rsidRPr="00E17A1C">
        <w:rPr>
          <w:rFonts w:ascii="Arial" w:hAnsi="Arial" w:cs="Arial"/>
          <w:sz w:val="20"/>
          <w:szCs w:val="20"/>
        </w:rPr>
        <w:t xml:space="preserve"> Approving the selection of auditing companies to audit the financial statements of 2020 </w:t>
      </w:r>
    </w:p>
    <w:p w:rsidR="001C385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The Annual General Meeting of Shareholders in 2020 </w:t>
      </w:r>
      <w:r w:rsidR="001C385E">
        <w:rPr>
          <w:rFonts w:ascii="Arial" w:hAnsi="Arial" w:cs="Arial"/>
          <w:sz w:val="20"/>
          <w:szCs w:val="20"/>
        </w:rPr>
        <w:t>approved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1C385E">
        <w:rPr>
          <w:rFonts w:ascii="Arial" w:hAnsi="Arial" w:cs="Arial"/>
          <w:sz w:val="20"/>
          <w:szCs w:val="20"/>
        </w:rPr>
        <w:t>authorizing</w:t>
      </w:r>
      <w:r w:rsidRPr="00E17A1C">
        <w:rPr>
          <w:rFonts w:ascii="Arial" w:hAnsi="Arial" w:cs="Arial"/>
          <w:sz w:val="20"/>
          <w:szCs w:val="20"/>
        </w:rPr>
        <w:t xml:space="preserve"> the General Director of the Corporation to sign audit contracts </w:t>
      </w:r>
      <w:r w:rsidR="001C385E">
        <w:rPr>
          <w:rFonts w:ascii="Arial" w:hAnsi="Arial" w:cs="Arial"/>
          <w:sz w:val="20"/>
          <w:szCs w:val="20"/>
        </w:rPr>
        <w:t>for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1C385E">
        <w:rPr>
          <w:rFonts w:ascii="Arial" w:hAnsi="Arial" w:cs="Arial"/>
          <w:sz w:val="20"/>
          <w:szCs w:val="20"/>
        </w:rPr>
        <w:t>financial statements of 2020</w:t>
      </w:r>
      <w:r w:rsidRPr="00E17A1C">
        <w:rPr>
          <w:rFonts w:ascii="Arial" w:hAnsi="Arial" w:cs="Arial"/>
          <w:sz w:val="20"/>
          <w:szCs w:val="20"/>
        </w:rPr>
        <w:t xml:space="preserve"> with UHY Auditing and Consulting Co., Ltd, with the following contents: </w:t>
      </w:r>
    </w:p>
    <w:p w:rsidR="001C385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Auditing fee: </w:t>
      </w:r>
      <w:r w:rsidR="001C385E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361</w:t>
      </w:r>
      <w:r w:rsidR="001C385E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818</w:t>
      </w:r>
      <w:r w:rsidR="001C385E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182 (excluding 10% VAT);  </w:t>
      </w:r>
    </w:p>
    <w:p w:rsidR="001C385E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Auditing the financial</w:t>
      </w:r>
      <w:r w:rsidR="001C385E">
        <w:rPr>
          <w:rFonts w:ascii="Arial" w:hAnsi="Arial" w:cs="Arial"/>
          <w:sz w:val="20"/>
          <w:szCs w:val="20"/>
        </w:rPr>
        <w:t xml:space="preserve"> statements and issuing audit</w:t>
      </w:r>
      <w:r w:rsidRPr="00E17A1C">
        <w:rPr>
          <w:rFonts w:ascii="Arial" w:hAnsi="Arial" w:cs="Arial"/>
          <w:sz w:val="20"/>
          <w:szCs w:val="20"/>
        </w:rPr>
        <w:t xml:space="preserve"> reports for the Parent Company and its subsidiaries for the fiscal year </w:t>
      </w:r>
      <w:r w:rsidR="001C385E">
        <w:rPr>
          <w:rFonts w:ascii="Arial" w:hAnsi="Arial" w:cs="Arial"/>
          <w:sz w:val="20"/>
          <w:szCs w:val="20"/>
        </w:rPr>
        <w:t xml:space="preserve">of </w:t>
      </w:r>
      <w:r w:rsidRPr="00E17A1C">
        <w:rPr>
          <w:rFonts w:ascii="Arial" w:hAnsi="Arial" w:cs="Arial"/>
          <w:sz w:val="20"/>
          <w:szCs w:val="20"/>
        </w:rPr>
        <w:t>2020 (from January 1, 2020 to December 31, 2020), including review</w:t>
      </w:r>
      <w:r w:rsidR="001C385E">
        <w:rPr>
          <w:rFonts w:ascii="Arial" w:hAnsi="Arial" w:cs="Arial"/>
          <w:sz w:val="20"/>
          <w:szCs w:val="20"/>
        </w:rPr>
        <w:t xml:space="preserve"> of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1C385E" w:rsidRPr="00E17A1C">
        <w:rPr>
          <w:rFonts w:ascii="Arial" w:hAnsi="Arial" w:cs="Arial"/>
          <w:sz w:val="20"/>
          <w:szCs w:val="20"/>
        </w:rPr>
        <w:t xml:space="preserve">semi-annual </w:t>
      </w:r>
      <w:r w:rsidR="001C385E">
        <w:rPr>
          <w:rFonts w:ascii="Arial" w:hAnsi="Arial" w:cs="Arial"/>
          <w:sz w:val="20"/>
          <w:szCs w:val="20"/>
        </w:rPr>
        <w:t xml:space="preserve">financial statements </w:t>
      </w:r>
      <w:r w:rsidRPr="00E17A1C">
        <w:rPr>
          <w:rFonts w:ascii="Arial" w:hAnsi="Arial" w:cs="Arial"/>
          <w:sz w:val="20"/>
          <w:szCs w:val="20"/>
        </w:rPr>
        <w:t xml:space="preserve">(January 1, 2020 to June 30, 2020);  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lastRenderedPageBreak/>
        <w:t xml:space="preserve">- Auditing the </w:t>
      </w:r>
      <w:r w:rsidR="001C385E">
        <w:rPr>
          <w:rFonts w:ascii="Arial" w:hAnsi="Arial" w:cs="Arial"/>
          <w:sz w:val="20"/>
          <w:szCs w:val="20"/>
        </w:rPr>
        <w:t>financial statements</w:t>
      </w:r>
      <w:r w:rsidRPr="00E17A1C">
        <w:rPr>
          <w:rFonts w:ascii="Arial" w:hAnsi="Arial" w:cs="Arial"/>
          <w:sz w:val="20"/>
          <w:szCs w:val="20"/>
        </w:rPr>
        <w:t xml:space="preserve"> and issuing consolidated audit reports of the Corporation for the fiscal year</w:t>
      </w:r>
      <w:r w:rsidR="001C385E">
        <w:rPr>
          <w:rFonts w:ascii="Arial" w:hAnsi="Arial" w:cs="Arial"/>
          <w:sz w:val="20"/>
          <w:szCs w:val="20"/>
        </w:rPr>
        <w:t xml:space="preserve"> of</w:t>
      </w:r>
      <w:r w:rsidRPr="00E17A1C">
        <w:rPr>
          <w:rFonts w:ascii="Arial" w:hAnsi="Arial" w:cs="Arial"/>
          <w:sz w:val="20"/>
          <w:szCs w:val="20"/>
        </w:rPr>
        <w:t xml:space="preserve"> 2020, including </w:t>
      </w:r>
      <w:r w:rsidR="001C385E" w:rsidRPr="00E17A1C">
        <w:rPr>
          <w:rFonts w:ascii="Arial" w:hAnsi="Arial" w:cs="Arial"/>
          <w:sz w:val="20"/>
          <w:szCs w:val="20"/>
        </w:rPr>
        <w:t xml:space="preserve">review </w:t>
      </w:r>
      <w:r w:rsidR="001C385E">
        <w:rPr>
          <w:rFonts w:ascii="Arial" w:hAnsi="Arial" w:cs="Arial"/>
          <w:sz w:val="20"/>
          <w:szCs w:val="20"/>
        </w:rPr>
        <w:t xml:space="preserve">of </w:t>
      </w:r>
      <w:r w:rsidRPr="00E17A1C">
        <w:rPr>
          <w:rFonts w:ascii="Arial" w:hAnsi="Arial" w:cs="Arial"/>
          <w:sz w:val="20"/>
          <w:szCs w:val="20"/>
        </w:rPr>
        <w:t xml:space="preserve">semi-annual </w:t>
      </w:r>
      <w:r w:rsidR="001C385E">
        <w:rPr>
          <w:rFonts w:ascii="Arial" w:hAnsi="Arial" w:cs="Arial"/>
          <w:sz w:val="20"/>
          <w:szCs w:val="20"/>
        </w:rPr>
        <w:t>financial statements</w:t>
      </w:r>
      <w:r w:rsidRPr="00E17A1C">
        <w:rPr>
          <w:rFonts w:ascii="Arial" w:hAnsi="Arial" w:cs="Arial"/>
          <w:sz w:val="20"/>
          <w:szCs w:val="20"/>
        </w:rPr>
        <w:t xml:space="preserve"> (Ja</w:t>
      </w:r>
      <w:r w:rsidR="000871EB">
        <w:rPr>
          <w:rFonts w:ascii="Arial" w:hAnsi="Arial" w:cs="Arial"/>
          <w:sz w:val="20"/>
          <w:szCs w:val="20"/>
        </w:rPr>
        <w:t>nuary 1, 2020 to June 30, 2020)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Article 9</w:t>
      </w:r>
      <w:r w:rsidR="000871EB">
        <w:rPr>
          <w:rFonts w:ascii="Arial" w:hAnsi="Arial" w:cs="Arial"/>
          <w:sz w:val="20"/>
          <w:szCs w:val="20"/>
        </w:rPr>
        <w:t xml:space="preserve">: </w:t>
      </w:r>
      <w:r w:rsidRPr="00E17A1C">
        <w:rPr>
          <w:rFonts w:ascii="Arial" w:hAnsi="Arial" w:cs="Arial"/>
          <w:sz w:val="20"/>
          <w:szCs w:val="20"/>
        </w:rPr>
        <w:t xml:space="preserve">Approving the </w:t>
      </w:r>
      <w:r w:rsidR="000871EB">
        <w:rPr>
          <w:rFonts w:ascii="Arial" w:hAnsi="Arial" w:cs="Arial"/>
          <w:sz w:val="20"/>
          <w:szCs w:val="20"/>
        </w:rPr>
        <w:t>deduction to</w:t>
      </w:r>
      <w:r w:rsidRPr="00E17A1C">
        <w:rPr>
          <w:rFonts w:ascii="Arial" w:hAnsi="Arial" w:cs="Arial"/>
          <w:sz w:val="20"/>
          <w:szCs w:val="20"/>
        </w:rPr>
        <w:t xml:space="preserve"> the Science and Technology Development Fund in 2020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The Annual General Meeting of Shareholders in 2020 </w:t>
      </w:r>
      <w:r w:rsidR="000871EB">
        <w:rPr>
          <w:rFonts w:ascii="Arial" w:hAnsi="Arial" w:cs="Arial"/>
          <w:sz w:val="20"/>
          <w:szCs w:val="20"/>
        </w:rPr>
        <w:t>approved</w:t>
      </w:r>
      <w:r w:rsidRPr="00E17A1C">
        <w:rPr>
          <w:rFonts w:ascii="Arial" w:hAnsi="Arial" w:cs="Arial"/>
          <w:sz w:val="20"/>
          <w:szCs w:val="20"/>
        </w:rPr>
        <w:t xml:space="preserve"> the </w:t>
      </w:r>
      <w:r w:rsidR="000871EB">
        <w:rPr>
          <w:rFonts w:ascii="Arial" w:hAnsi="Arial" w:cs="Arial"/>
          <w:sz w:val="20"/>
          <w:szCs w:val="20"/>
        </w:rPr>
        <w:t>deduction to</w:t>
      </w:r>
      <w:r w:rsidRPr="00E17A1C">
        <w:rPr>
          <w:rFonts w:ascii="Arial" w:hAnsi="Arial" w:cs="Arial"/>
          <w:sz w:val="20"/>
          <w:szCs w:val="20"/>
        </w:rPr>
        <w:t xml:space="preserve"> the Science and Technology Development Fund in 2020, specifically as follows: 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The total science and technology fund i</w:t>
      </w:r>
      <w:r w:rsidR="000871EB">
        <w:rPr>
          <w:rFonts w:ascii="Arial" w:hAnsi="Arial" w:cs="Arial"/>
          <w:sz w:val="20"/>
          <w:szCs w:val="20"/>
        </w:rPr>
        <w:t>n 2020</w:t>
      </w:r>
      <w:r w:rsidRPr="00E17A1C">
        <w:rPr>
          <w:rFonts w:ascii="Arial" w:hAnsi="Arial" w:cs="Arial"/>
          <w:sz w:val="20"/>
          <w:szCs w:val="20"/>
        </w:rPr>
        <w:t xml:space="preserve">: </w:t>
      </w:r>
      <w:r w:rsidR="000871EB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4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700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 xml:space="preserve">,000 </w:t>
      </w:r>
    </w:p>
    <w:p w:rsidR="000871EB" w:rsidRDefault="000871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E17A1C" w:rsidRPr="00E17A1C">
        <w:rPr>
          <w:rFonts w:ascii="Arial" w:hAnsi="Arial" w:cs="Arial"/>
          <w:sz w:val="20"/>
          <w:szCs w:val="20"/>
        </w:rPr>
        <w:t xml:space="preserve"> which: 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Funds for performin</w:t>
      </w:r>
      <w:r w:rsidR="000871EB">
        <w:rPr>
          <w:rFonts w:ascii="Arial" w:hAnsi="Arial" w:cs="Arial"/>
          <w:sz w:val="20"/>
          <w:szCs w:val="20"/>
        </w:rPr>
        <w:t>g S&amp;T research tasks in 2020</w:t>
      </w:r>
      <w:r w:rsidRPr="00E17A1C">
        <w:rPr>
          <w:rFonts w:ascii="Arial" w:hAnsi="Arial" w:cs="Arial"/>
          <w:sz w:val="20"/>
          <w:szCs w:val="20"/>
        </w:rPr>
        <w:t xml:space="preserve">: </w:t>
      </w:r>
      <w:r w:rsidR="000871EB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1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500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000 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Funding for technical innovation a</w:t>
      </w:r>
      <w:r w:rsidR="000871EB">
        <w:rPr>
          <w:rFonts w:ascii="Arial" w:hAnsi="Arial" w:cs="Arial"/>
          <w:sz w:val="20"/>
          <w:szCs w:val="20"/>
        </w:rPr>
        <w:t>ctivities</w:t>
      </w:r>
      <w:r w:rsidRPr="00E17A1C">
        <w:rPr>
          <w:rFonts w:ascii="Arial" w:hAnsi="Arial" w:cs="Arial"/>
          <w:sz w:val="20"/>
          <w:szCs w:val="20"/>
        </w:rPr>
        <w:t xml:space="preserve">: </w:t>
      </w:r>
      <w:r w:rsidR="000871EB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1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 xml:space="preserve">000 </w:t>
      </w:r>
    </w:p>
    <w:p w:rsidR="000871EB" w:rsidRDefault="000871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17A1C" w:rsidRPr="00E17A1C">
        <w:rPr>
          <w:rFonts w:ascii="Arial" w:hAnsi="Arial" w:cs="Arial"/>
          <w:sz w:val="20"/>
          <w:szCs w:val="20"/>
        </w:rPr>
        <w:t>Expenses for management of science and technology tasks of the</w:t>
      </w:r>
      <w:r>
        <w:rPr>
          <w:rFonts w:ascii="Arial" w:hAnsi="Arial" w:cs="Arial"/>
          <w:sz w:val="20"/>
          <w:szCs w:val="20"/>
        </w:rPr>
        <w:t xml:space="preserve"> Councils in the Corporation</w:t>
      </w:r>
      <w:r w:rsidR="00E17A1C" w:rsidRPr="00E17A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E17A1C" w:rsidRPr="00E17A1C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,</w:t>
      </w:r>
      <w:r w:rsidR="00E17A1C" w:rsidRPr="00E17A1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17A1C" w:rsidRPr="00E17A1C">
        <w:rPr>
          <w:rFonts w:ascii="Arial" w:hAnsi="Arial" w:cs="Arial"/>
          <w:sz w:val="20"/>
          <w:szCs w:val="20"/>
        </w:rPr>
        <w:t xml:space="preserve">000 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- Funding for the implementation of the experimental production pla</w:t>
      </w:r>
      <w:r w:rsidR="000871EB">
        <w:rPr>
          <w:rFonts w:ascii="Arial" w:hAnsi="Arial" w:cs="Arial"/>
          <w:sz w:val="20"/>
          <w:szCs w:val="20"/>
        </w:rPr>
        <w:t>n for recovery of nickel sulf</w:t>
      </w:r>
      <w:r w:rsidRPr="00E17A1C">
        <w:rPr>
          <w:rFonts w:ascii="Arial" w:hAnsi="Arial" w:cs="Arial"/>
          <w:sz w:val="20"/>
          <w:szCs w:val="20"/>
        </w:rPr>
        <w:t xml:space="preserve">ate and copper sulfate: </w:t>
      </w:r>
      <w:r w:rsidR="000871EB" w:rsidRPr="00E17A1C">
        <w:rPr>
          <w:rFonts w:ascii="Arial" w:hAnsi="Arial" w:cs="Arial"/>
          <w:sz w:val="20"/>
          <w:szCs w:val="20"/>
        </w:rPr>
        <w:t xml:space="preserve">VND </w:t>
      </w:r>
      <w:r w:rsidRPr="00E17A1C">
        <w:rPr>
          <w:rFonts w:ascii="Arial" w:hAnsi="Arial" w:cs="Arial"/>
          <w:sz w:val="20"/>
          <w:szCs w:val="20"/>
        </w:rPr>
        <w:t>2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>,</w:t>
      </w:r>
      <w:r w:rsidRPr="00E17A1C">
        <w:rPr>
          <w:rFonts w:ascii="Arial" w:hAnsi="Arial" w:cs="Arial"/>
          <w:sz w:val="20"/>
          <w:szCs w:val="20"/>
        </w:rPr>
        <w:t>000</w:t>
      </w:r>
      <w:r w:rsidR="000871EB">
        <w:rPr>
          <w:rFonts w:ascii="Arial" w:hAnsi="Arial" w:cs="Arial"/>
          <w:sz w:val="20"/>
          <w:szCs w:val="20"/>
        </w:rPr>
        <w:t xml:space="preserve">,000 </w:t>
      </w:r>
    </w:p>
    <w:p w:rsidR="000871EB" w:rsidRDefault="000871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 was</w:t>
      </w:r>
      <w:r w:rsidR="00E17A1C" w:rsidRPr="00E17A1C">
        <w:rPr>
          <w:rFonts w:ascii="Arial" w:hAnsi="Arial" w:cs="Arial"/>
          <w:sz w:val="20"/>
          <w:szCs w:val="20"/>
        </w:rPr>
        <w:t xml:space="preserve"> assigned</w:t>
      </w:r>
      <w:r>
        <w:rPr>
          <w:rFonts w:ascii="Arial" w:hAnsi="Arial" w:cs="Arial"/>
          <w:sz w:val="20"/>
          <w:szCs w:val="20"/>
        </w:rPr>
        <w:t xml:space="preserve"> to implement</w:t>
      </w:r>
      <w:r w:rsidR="00E17A1C" w:rsidRPr="00E17A1C">
        <w:rPr>
          <w:rFonts w:ascii="Arial" w:hAnsi="Arial" w:cs="Arial"/>
          <w:sz w:val="20"/>
          <w:szCs w:val="20"/>
        </w:rPr>
        <w:t xml:space="preserve"> in accordance with current regulations, ensuring profi</w:t>
      </w:r>
      <w:r>
        <w:rPr>
          <w:rFonts w:ascii="Arial" w:hAnsi="Arial" w:cs="Arial"/>
          <w:sz w:val="20"/>
          <w:szCs w:val="20"/>
        </w:rPr>
        <w:t>t and dividend plans for 2020</w:t>
      </w:r>
    </w:p>
    <w:p w:rsidR="000871EB" w:rsidRDefault="000871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policy of continuing to list the Corporation's</w:t>
      </w:r>
      <w:r>
        <w:rPr>
          <w:rFonts w:ascii="Arial" w:hAnsi="Arial" w:cs="Arial"/>
          <w:sz w:val="20"/>
          <w:szCs w:val="20"/>
        </w:rPr>
        <w:t xml:space="preserve"> stocks at Hanoi Stock Exchange</w:t>
      </w:r>
    </w:p>
    <w:p w:rsidR="000871EB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- The </w:t>
      </w:r>
      <w:r w:rsidR="000871EB">
        <w:rPr>
          <w:rFonts w:ascii="Arial" w:hAnsi="Arial" w:cs="Arial"/>
          <w:sz w:val="20"/>
          <w:szCs w:val="20"/>
        </w:rPr>
        <w:t xml:space="preserve">General Meeting of Shareholders </w:t>
      </w:r>
      <w:r w:rsidRPr="00E17A1C">
        <w:rPr>
          <w:rFonts w:ascii="Arial" w:hAnsi="Arial" w:cs="Arial"/>
          <w:sz w:val="20"/>
          <w:szCs w:val="20"/>
        </w:rPr>
        <w:t>a</w:t>
      </w:r>
      <w:r w:rsidR="000871EB">
        <w:rPr>
          <w:rFonts w:ascii="Arial" w:hAnsi="Arial" w:cs="Arial"/>
          <w:sz w:val="20"/>
          <w:szCs w:val="20"/>
        </w:rPr>
        <w:t>pproved</w:t>
      </w:r>
      <w:r w:rsidRPr="00E17A1C">
        <w:rPr>
          <w:rFonts w:ascii="Arial" w:hAnsi="Arial" w:cs="Arial"/>
          <w:sz w:val="20"/>
          <w:szCs w:val="20"/>
        </w:rPr>
        <w:t xml:space="preserve"> the continuation of procedures for listing the Corporation's shares on HNX if eligible, authorizing the Corporation's Board of Directors to approve the listing registrat</w:t>
      </w:r>
      <w:r w:rsidR="000871EB">
        <w:rPr>
          <w:rFonts w:ascii="Arial" w:hAnsi="Arial" w:cs="Arial"/>
          <w:sz w:val="20"/>
          <w:szCs w:val="20"/>
        </w:rPr>
        <w:t xml:space="preserve">ion file (if any) according to the law </w:t>
      </w:r>
    </w:p>
    <w:p w:rsidR="000871EB" w:rsidRDefault="000871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="00E17A1C" w:rsidRPr="00E17A1C">
        <w:rPr>
          <w:rFonts w:ascii="Arial" w:hAnsi="Arial" w:cs="Arial"/>
          <w:sz w:val="20"/>
          <w:szCs w:val="20"/>
        </w:rPr>
        <w:t xml:space="preserve"> Approving the consumption of steel billets produced at Cao Bang Iron and Steel Joint Stock Compa</w:t>
      </w:r>
      <w:r>
        <w:rPr>
          <w:rFonts w:ascii="Arial" w:hAnsi="Arial" w:cs="Arial"/>
          <w:sz w:val="20"/>
          <w:szCs w:val="20"/>
        </w:rPr>
        <w:t>ny in 2020 and subsequent years</w:t>
      </w:r>
    </w:p>
    <w:p w:rsidR="005D39A4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The General Meeting of Shareholders approved </w:t>
      </w:r>
      <w:r w:rsidR="000871EB">
        <w:rPr>
          <w:rFonts w:ascii="Arial" w:hAnsi="Arial" w:cs="Arial"/>
          <w:sz w:val="20"/>
          <w:szCs w:val="20"/>
        </w:rPr>
        <w:t>sale</w:t>
      </w:r>
      <w:r w:rsidRPr="00E17A1C">
        <w:rPr>
          <w:rFonts w:ascii="Arial" w:hAnsi="Arial" w:cs="Arial"/>
          <w:sz w:val="20"/>
          <w:szCs w:val="20"/>
        </w:rPr>
        <w:t xml:space="preserve"> of steel billets produced by Cao Bang Iron and Steel Joint Stock Company in 2020 and the following years, specifically as follows: </w:t>
      </w:r>
    </w:p>
    <w:p w:rsidR="005D39A4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7A1C" w:rsidRPr="00E17A1C">
        <w:rPr>
          <w:rFonts w:ascii="Arial" w:hAnsi="Arial" w:cs="Arial"/>
          <w:sz w:val="20"/>
          <w:szCs w:val="20"/>
        </w:rPr>
        <w:t xml:space="preserve">The General Meeting of Shareholders approved </w:t>
      </w:r>
      <w:proofErr w:type="spellStart"/>
      <w:r w:rsidRPr="005D39A4">
        <w:rPr>
          <w:rFonts w:ascii="Arial" w:hAnsi="Arial" w:cs="Arial"/>
          <w:sz w:val="20"/>
          <w:szCs w:val="20"/>
        </w:rPr>
        <w:t>Vinacomin</w:t>
      </w:r>
      <w:proofErr w:type="spellEnd"/>
      <w:r w:rsidRPr="005D39A4">
        <w:rPr>
          <w:rFonts w:ascii="Arial" w:hAnsi="Arial" w:cs="Arial"/>
          <w:sz w:val="20"/>
          <w:szCs w:val="20"/>
        </w:rPr>
        <w:t xml:space="preserve"> - Minerals Holding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="00E17A1C" w:rsidRPr="00E17A1C">
        <w:rPr>
          <w:rFonts w:ascii="Arial" w:hAnsi="Arial" w:cs="Arial"/>
          <w:sz w:val="20"/>
          <w:szCs w:val="20"/>
        </w:rPr>
        <w:t xml:space="preserve">to sign a principle contract to </w:t>
      </w:r>
      <w:r>
        <w:rPr>
          <w:rFonts w:ascii="Arial" w:hAnsi="Arial" w:cs="Arial"/>
          <w:sz w:val="20"/>
          <w:szCs w:val="20"/>
        </w:rPr>
        <w:t>sell</w:t>
      </w:r>
      <w:r w:rsidR="00E17A1C" w:rsidRPr="00E17A1C">
        <w:rPr>
          <w:rFonts w:ascii="Arial" w:hAnsi="Arial" w:cs="Arial"/>
          <w:sz w:val="20"/>
          <w:szCs w:val="20"/>
        </w:rPr>
        <w:t xml:space="preserve"> all the steel billet produced by Cao Bang Iron and Steel Joint Stock Company</w:t>
      </w:r>
      <w:r>
        <w:rPr>
          <w:rFonts w:ascii="Arial" w:hAnsi="Arial" w:cs="Arial"/>
          <w:sz w:val="20"/>
          <w:szCs w:val="20"/>
        </w:rPr>
        <w:t xml:space="preserve"> in 2020 and subsequent years</w:t>
      </w:r>
    </w:p>
    <w:p w:rsidR="005D39A4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17A1C" w:rsidRPr="00E17A1C">
        <w:rPr>
          <w:rFonts w:ascii="Arial" w:hAnsi="Arial" w:cs="Arial"/>
          <w:sz w:val="20"/>
          <w:szCs w:val="20"/>
        </w:rPr>
        <w:t xml:space="preserve">The General Meeting of Shareholders agreed to authorize the Board of Directors of the Corporation to approve the annual </w:t>
      </w:r>
      <w:r>
        <w:rPr>
          <w:rFonts w:ascii="Arial" w:hAnsi="Arial" w:cs="Arial"/>
          <w:sz w:val="20"/>
          <w:szCs w:val="20"/>
        </w:rPr>
        <w:t>sales</w:t>
      </w:r>
      <w:r w:rsidR="00E17A1C" w:rsidRPr="00E17A1C">
        <w:rPr>
          <w:rFonts w:ascii="Arial" w:hAnsi="Arial" w:cs="Arial"/>
          <w:sz w:val="20"/>
          <w:szCs w:val="20"/>
        </w:rPr>
        <w:t xml:space="preserve"> plan to assign the General Director to implement, ensuring the principle of publicity, transparency, and suitability w</w:t>
      </w:r>
      <w:r>
        <w:rPr>
          <w:rFonts w:ascii="Arial" w:hAnsi="Arial" w:cs="Arial"/>
          <w:sz w:val="20"/>
          <w:szCs w:val="20"/>
        </w:rPr>
        <w:t>ith market developments</w:t>
      </w:r>
    </w:p>
    <w:p w:rsidR="005D39A4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12: A</w:t>
      </w:r>
      <w:r w:rsidR="00E17A1C" w:rsidRPr="00E17A1C">
        <w:rPr>
          <w:rFonts w:ascii="Arial" w:hAnsi="Arial" w:cs="Arial"/>
          <w:sz w:val="20"/>
          <w:szCs w:val="20"/>
        </w:rPr>
        <w:t>pprove the plan of p</w:t>
      </w:r>
      <w:r>
        <w:rPr>
          <w:rFonts w:ascii="Arial" w:hAnsi="Arial" w:cs="Arial"/>
          <w:sz w:val="20"/>
          <w:szCs w:val="20"/>
        </w:rPr>
        <w:t>roduction and business, organization of</w:t>
      </w:r>
      <w:r w:rsidR="00E17A1C" w:rsidRPr="00E17A1C">
        <w:rPr>
          <w:rFonts w:ascii="Arial" w:hAnsi="Arial" w:cs="Arial"/>
          <w:sz w:val="20"/>
          <w:szCs w:val="20"/>
        </w:rPr>
        <w:t xml:space="preserve"> exploitation of the North of Na </w:t>
      </w:r>
      <w:proofErr w:type="spellStart"/>
      <w:r w:rsidR="00E17A1C" w:rsidRPr="00E17A1C">
        <w:rPr>
          <w:rFonts w:ascii="Arial" w:hAnsi="Arial" w:cs="Arial"/>
          <w:sz w:val="20"/>
          <w:szCs w:val="20"/>
        </w:rPr>
        <w:t>Ria</w:t>
      </w:r>
      <w:proofErr w:type="spellEnd"/>
      <w:r w:rsidR="00E17A1C" w:rsidRPr="00E17A1C">
        <w:rPr>
          <w:rFonts w:ascii="Arial" w:hAnsi="Arial" w:cs="Arial"/>
          <w:sz w:val="20"/>
          <w:szCs w:val="20"/>
        </w:rPr>
        <w:t xml:space="preserve"> iron mine, authorizing the Board of Directors to approve the annual implementation plan in accordance with the reality of production and b</w:t>
      </w:r>
      <w:r>
        <w:rPr>
          <w:rFonts w:ascii="Arial" w:hAnsi="Arial" w:cs="Arial"/>
          <w:sz w:val="20"/>
          <w:szCs w:val="20"/>
        </w:rPr>
        <w:t>usiness and the approved policy</w:t>
      </w:r>
    </w:p>
    <w:p w:rsidR="005D39A4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>Article 13</w:t>
      </w:r>
      <w:r w:rsidR="005D39A4">
        <w:rPr>
          <w:rFonts w:ascii="Arial" w:hAnsi="Arial" w:cs="Arial"/>
          <w:sz w:val="20"/>
          <w:szCs w:val="20"/>
        </w:rPr>
        <w:t>: Approve</w:t>
      </w:r>
      <w:r w:rsidRPr="00E17A1C">
        <w:rPr>
          <w:rFonts w:ascii="Arial" w:hAnsi="Arial" w:cs="Arial"/>
          <w:sz w:val="20"/>
          <w:szCs w:val="20"/>
        </w:rPr>
        <w:t xml:space="preserve"> the business cooperation contract and product purchase and s</w:t>
      </w:r>
      <w:r w:rsidR="005D39A4">
        <w:rPr>
          <w:rFonts w:ascii="Arial" w:hAnsi="Arial" w:cs="Arial"/>
          <w:sz w:val="20"/>
          <w:szCs w:val="20"/>
        </w:rPr>
        <w:t>ale mechanism in 2020 with TKV</w:t>
      </w:r>
    </w:p>
    <w:p w:rsidR="005D39A4" w:rsidRDefault="00E17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A1C">
        <w:rPr>
          <w:rFonts w:ascii="Arial" w:hAnsi="Arial" w:cs="Arial"/>
          <w:sz w:val="20"/>
          <w:szCs w:val="20"/>
        </w:rPr>
        <w:t xml:space="preserve">The General Meeting of Shareholders approved the content of Mineral Exploitation, Sorting and Processing Contract and </w:t>
      </w:r>
      <w:r w:rsidR="005D39A4">
        <w:rPr>
          <w:rFonts w:ascii="Arial" w:hAnsi="Arial" w:cs="Arial"/>
          <w:sz w:val="20"/>
          <w:szCs w:val="20"/>
        </w:rPr>
        <w:t>copper bar</w:t>
      </w:r>
      <w:r w:rsidRPr="00E17A1C">
        <w:rPr>
          <w:rFonts w:ascii="Arial" w:hAnsi="Arial" w:cs="Arial"/>
          <w:sz w:val="20"/>
          <w:szCs w:val="20"/>
        </w:rPr>
        <w:t xml:space="preserve"> trading mechanism in 2020 with TKV: </w:t>
      </w:r>
    </w:p>
    <w:p w:rsidR="005D39A4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E17A1C" w:rsidRPr="00E17A1C">
        <w:rPr>
          <w:rFonts w:ascii="Arial" w:hAnsi="Arial" w:cs="Arial"/>
          <w:sz w:val="20"/>
          <w:szCs w:val="20"/>
        </w:rPr>
        <w:t xml:space="preserve">Regarding business cooperation contracts and trading mechanism of copper products: </w:t>
      </w:r>
    </w:p>
    <w:p w:rsidR="005D39A4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7A1C" w:rsidRPr="00E17A1C">
        <w:rPr>
          <w:rFonts w:ascii="Arial" w:hAnsi="Arial" w:cs="Arial"/>
          <w:sz w:val="20"/>
          <w:szCs w:val="20"/>
        </w:rPr>
        <w:t xml:space="preserve">Approving the business cooperation contract in 2020 between </w:t>
      </w:r>
      <w:proofErr w:type="spellStart"/>
      <w:r w:rsidRPr="005D39A4">
        <w:rPr>
          <w:rFonts w:ascii="Arial" w:hAnsi="Arial" w:cs="Arial"/>
          <w:sz w:val="20"/>
          <w:szCs w:val="20"/>
        </w:rPr>
        <w:t>Vinacomin</w:t>
      </w:r>
      <w:proofErr w:type="spellEnd"/>
      <w:r w:rsidRPr="005D39A4">
        <w:rPr>
          <w:rFonts w:ascii="Arial" w:hAnsi="Arial" w:cs="Arial"/>
          <w:sz w:val="20"/>
          <w:szCs w:val="20"/>
        </w:rPr>
        <w:t xml:space="preserve"> - Minerals Holding Corporation</w:t>
      </w:r>
      <w:r>
        <w:rPr>
          <w:rFonts w:ascii="Arial" w:hAnsi="Arial" w:cs="Arial"/>
          <w:sz w:val="20"/>
          <w:szCs w:val="20"/>
        </w:rPr>
        <w:t xml:space="preserve"> and shareholder -</w:t>
      </w:r>
      <w:r w:rsidR="00E17A1C" w:rsidRPr="00E17A1C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ietnam Coal and Mineral Industries Holding</w:t>
      </w:r>
      <w:r w:rsidR="00E17A1C"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Corporation Limited</w:t>
      </w:r>
      <w:r w:rsidR="00E17A1C" w:rsidRPr="00E17A1C">
        <w:rPr>
          <w:rFonts w:ascii="Arial" w:hAnsi="Arial" w:cs="Arial"/>
          <w:sz w:val="20"/>
          <w:szCs w:val="20"/>
        </w:rPr>
        <w:t xml:space="preserve"> </w:t>
      </w:r>
    </w:p>
    <w:p w:rsidR="00D10FE7" w:rsidRDefault="005D39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 xml:space="preserve"> Approve the mechanism of trading copper products with </w:t>
      </w:r>
      <w:r w:rsidRPr="00E17A1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ietnam Coal and Mineral Industries Holding</w:t>
      </w:r>
      <w:r w:rsidRPr="00E17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Corporation Limited</w:t>
      </w:r>
      <w:r w:rsidRPr="00E17A1C">
        <w:rPr>
          <w:rFonts w:ascii="Arial" w:hAnsi="Arial" w:cs="Arial"/>
          <w:sz w:val="20"/>
          <w:szCs w:val="20"/>
        </w:rPr>
        <w:t xml:space="preserve"> </w:t>
      </w:r>
      <w:r w:rsidR="00E17A1C" w:rsidRPr="00E17A1C">
        <w:rPr>
          <w:rFonts w:ascii="Arial" w:hAnsi="Arial" w:cs="Arial"/>
          <w:sz w:val="20"/>
          <w:szCs w:val="20"/>
        </w:rPr>
        <w:t xml:space="preserve">in accordance with the regulations on business cost management in the Group of </w:t>
      </w:r>
      <w:r w:rsidRPr="00E17A1C">
        <w:rPr>
          <w:rFonts w:ascii="Arial" w:hAnsi="Arial" w:cs="Arial"/>
          <w:sz w:val="20"/>
          <w:szCs w:val="20"/>
        </w:rPr>
        <w:t xml:space="preserve">TKV </w:t>
      </w:r>
      <w:r w:rsidR="00E17A1C" w:rsidRPr="00E17A1C">
        <w:rPr>
          <w:rFonts w:ascii="Arial" w:hAnsi="Arial" w:cs="Arial"/>
          <w:sz w:val="20"/>
          <w:szCs w:val="20"/>
        </w:rPr>
        <w:t xml:space="preserve">Companies </w:t>
      </w:r>
      <w:r>
        <w:rPr>
          <w:rFonts w:ascii="Arial" w:hAnsi="Arial" w:cs="Arial"/>
          <w:sz w:val="20"/>
          <w:szCs w:val="20"/>
        </w:rPr>
        <w:t>in Decision No.212/</w:t>
      </w:r>
      <w:r w:rsidR="00E17A1C" w:rsidRPr="00E17A1C">
        <w:rPr>
          <w:rFonts w:ascii="Arial" w:hAnsi="Arial" w:cs="Arial"/>
          <w:sz w:val="20"/>
          <w:szCs w:val="20"/>
        </w:rPr>
        <w:t>QD - TKV of Februa</w:t>
      </w:r>
      <w:r>
        <w:rPr>
          <w:rFonts w:ascii="Arial" w:hAnsi="Arial" w:cs="Arial"/>
          <w:sz w:val="20"/>
          <w:szCs w:val="20"/>
        </w:rPr>
        <w:t>ry 12, 2019 of the Council</w:t>
      </w:r>
      <w:r w:rsidR="00E17A1C" w:rsidRPr="00E17A1C">
        <w:rPr>
          <w:rFonts w:ascii="Arial" w:hAnsi="Arial" w:cs="Arial"/>
          <w:sz w:val="20"/>
          <w:szCs w:val="20"/>
        </w:rPr>
        <w:t xml:space="preserve"> member of </w:t>
      </w:r>
      <w:r w:rsidR="00D10FE7" w:rsidRPr="00D10FE7">
        <w:rPr>
          <w:rFonts w:ascii="Arial" w:hAnsi="Arial" w:cs="Arial"/>
          <w:sz w:val="20"/>
          <w:szCs w:val="20"/>
        </w:rPr>
        <w:t>Vietnam Coal and Mineral Industries Holding Corporation Limited</w:t>
      </w:r>
      <w:r w:rsidR="00E17A1C" w:rsidRPr="00E17A1C">
        <w:rPr>
          <w:rFonts w:ascii="Arial" w:hAnsi="Arial" w:cs="Arial"/>
          <w:sz w:val="20"/>
          <w:szCs w:val="20"/>
        </w:rPr>
        <w:t xml:space="preserve">: </w:t>
      </w:r>
      <w:r w:rsidR="00D10FE7" w:rsidRPr="00E17A1C">
        <w:rPr>
          <w:rFonts w:ascii="Arial" w:hAnsi="Arial" w:cs="Arial"/>
          <w:sz w:val="20"/>
          <w:szCs w:val="20"/>
        </w:rPr>
        <w:t>V</w:t>
      </w:r>
      <w:r w:rsidR="00D10FE7">
        <w:rPr>
          <w:rFonts w:ascii="Arial" w:hAnsi="Arial" w:cs="Arial"/>
          <w:sz w:val="20"/>
          <w:szCs w:val="20"/>
        </w:rPr>
        <w:t>ietnam Coal and Mineral Industries Holding</w:t>
      </w:r>
      <w:r w:rsidR="00D10FE7" w:rsidRPr="00E17A1C">
        <w:rPr>
          <w:rFonts w:ascii="Arial" w:hAnsi="Arial" w:cs="Arial"/>
          <w:sz w:val="20"/>
          <w:szCs w:val="20"/>
        </w:rPr>
        <w:t xml:space="preserve"> </w:t>
      </w:r>
      <w:r w:rsidR="00D10FE7">
        <w:rPr>
          <w:rFonts w:ascii="Arial" w:hAnsi="Arial" w:cs="Arial"/>
          <w:sz w:val="20"/>
          <w:szCs w:val="20"/>
        </w:rPr>
        <w:t>Corporation Limited</w:t>
      </w:r>
      <w:r w:rsidR="00D10FE7" w:rsidRPr="00E17A1C">
        <w:rPr>
          <w:rFonts w:ascii="Arial" w:hAnsi="Arial" w:cs="Arial"/>
          <w:sz w:val="20"/>
          <w:szCs w:val="20"/>
        </w:rPr>
        <w:t xml:space="preserve"> </w:t>
      </w:r>
      <w:r w:rsidR="00D10FE7">
        <w:rPr>
          <w:rFonts w:ascii="Arial" w:hAnsi="Arial" w:cs="Arial"/>
          <w:sz w:val="20"/>
          <w:szCs w:val="20"/>
        </w:rPr>
        <w:t>issues the</w:t>
      </w:r>
      <w:r w:rsidR="00E17A1C" w:rsidRPr="00E17A1C">
        <w:rPr>
          <w:rFonts w:ascii="Arial" w:hAnsi="Arial" w:cs="Arial"/>
          <w:sz w:val="20"/>
          <w:szCs w:val="20"/>
        </w:rPr>
        <w:t xml:space="preserve"> price for </w:t>
      </w:r>
      <w:r w:rsidR="00D10FE7">
        <w:rPr>
          <w:rFonts w:ascii="Arial" w:hAnsi="Arial" w:cs="Arial"/>
          <w:sz w:val="20"/>
          <w:szCs w:val="20"/>
        </w:rPr>
        <w:t>copper</w:t>
      </w:r>
      <w:r w:rsidR="00E17A1C" w:rsidRPr="00E17A1C">
        <w:rPr>
          <w:rFonts w:ascii="Arial" w:hAnsi="Arial" w:cs="Arial"/>
          <w:sz w:val="20"/>
          <w:szCs w:val="20"/>
        </w:rPr>
        <w:t xml:space="preserve"> products manufactured by </w:t>
      </w:r>
      <w:proofErr w:type="spellStart"/>
      <w:r w:rsidR="00D10FE7" w:rsidRPr="00D10FE7">
        <w:rPr>
          <w:rFonts w:ascii="Arial" w:hAnsi="Arial" w:cs="Arial"/>
          <w:sz w:val="20"/>
          <w:szCs w:val="20"/>
        </w:rPr>
        <w:t>Vinacomin</w:t>
      </w:r>
      <w:proofErr w:type="spellEnd"/>
      <w:r w:rsidR="00D10FE7" w:rsidRPr="00D10FE7">
        <w:rPr>
          <w:rFonts w:ascii="Arial" w:hAnsi="Arial" w:cs="Arial"/>
          <w:sz w:val="20"/>
          <w:szCs w:val="20"/>
        </w:rPr>
        <w:t xml:space="preserve"> - Minerals Holding Corporation</w:t>
      </w:r>
      <w:r w:rsidR="00D10FE7">
        <w:rPr>
          <w:rFonts w:ascii="Arial" w:hAnsi="Arial" w:cs="Arial"/>
          <w:sz w:val="20"/>
          <w:szCs w:val="20"/>
        </w:rPr>
        <w:t xml:space="preserve"> in 2020 </w:t>
      </w:r>
    </w:p>
    <w:p w:rsidR="00D10FE7" w:rsidRDefault="00D10F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17A1C" w:rsidRPr="00E17A1C">
        <w:rPr>
          <w:rFonts w:ascii="Arial" w:hAnsi="Arial" w:cs="Arial"/>
          <w:sz w:val="20"/>
          <w:szCs w:val="20"/>
        </w:rPr>
        <w:t>Authorize the Corporation's Board of Directors to decide on the contract extension, price approval and assign the General Director to implement the Contra</w:t>
      </w:r>
      <w:r>
        <w:rPr>
          <w:rFonts w:ascii="Arial" w:hAnsi="Arial" w:cs="Arial"/>
          <w:sz w:val="20"/>
          <w:szCs w:val="20"/>
        </w:rPr>
        <w:t xml:space="preserve">ct in accordance with the law. </w:t>
      </w:r>
      <w:r w:rsidR="00E17A1C" w:rsidRPr="00E17A1C">
        <w:rPr>
          <w:rFonts w:ascii="Arial" w:hAnsi="Arial" w:cs="Arial"/>
          <w:sz w:val="20"/>
          <w:szCs w:val="20"/>
        </w:rPr>
        <w:t xml:space="preserve">The contract can be extended to the Annual General Meeting of Shareholders in 2021 (before April 30, 2021) </w:t>
      </w:r>
    </w:p>
    <w:p w:rsidR="00D10FE7" w:rsidRDefault="00D10F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Regarding the copper</w:t>
      </w:r>
      <w:r w:rsidR="00E17A1C" w:rsidRPr="00E17A1C">
        <w:rPr>
          <w:rFonts w:ascii="Arial" w:hAnsi="Arial" w:cs="Arial"/>
          <w:sz w:val="20"/>
          <w:szCs w:val="20"/>
        </w:rPr>
        <w:t xml:space="preserve"> ore</w:t>
      </w:r>
    </w:p>
    <w:p w:rsidR="00B56061" w:rsidRDefault="00D10F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17A1C" w:rsidRPr="00E17A1C">
        <w:rPr>
          <w:rFonts w:ascii="Arial" w:hAnsi="Arial" w:cs="Arial"/>
          <w:sz w:val="20"/>
          <w:szCs w:val="20"/>
        </w:rPr>
        <w:t>he General Meeting of Shareholders approved the policy and authorized the Board of Directors o</w:t>
      </w:r>
      <w:r w:rsidR="00B14191">
        <w:rPr>
          <w:rFonts w:ascii="Arial" w:hAnsi="Arial" w:cs="Arial"/>
          <w:sz w:val="20"/>
          <w:szCs w:val="20"/>
        </w:rPr>
        <w:t>f the Corporation to decide</w:t>
      </w:r>
      <w:r w:rsidR="00E17A1C" w:rsidRPr="00E17A1C">
        <w:rPr>
          <w:rFonts w:ascii="Arial" w:hAnsi="Arial" w:cs="Arial"/>
          <w:sz w:val="20"/>
          <w:szCs w:val="20"/>
        </w:rPr>
        <w:t>: during the implementation of business and production activities in 2020, base</w:t>
      </w:r>
      <w:r w:rsidR="00B14191">
        <w:rPr>
          <w:rFonts w:ascii="Arial" w:hAnsi="Arial" w:cs="Arial"/>
          <w:sz w:val="20"/>
          <w:szCs w:val="20"/>
        </w:rPr>
        <w:t xml:space="preserve">d on market movements and Covi-19 </w:t>
      </w:r>
      <w:r w:rsidR="00E17A1C" w:rsidRPr="00E17A1C">
        <w:rPr>
          <w:rFonts w:ascii="Arial" w:hAnsi="Arial" w:cs="Arial"/>
          <w:sz w:val="20"/>
          <w:szCs w:val="20"/>
        </w:rPr>
        <w:t>epidemic to actively coordinate with TKV shareholders to</w:t>
      </w:r>
      <w:r w:rsidR="00B56061">
        <w:rPr>
          <w:rFonts w:ascii="Arial" w:hAnsi="Arial" w:cs="Arial"/>
          <w:sz w:val="20"/>
          <w:szCs w:val="20"/>
        </w:rPr>
        <w:t xml:space="preserve"> carry out the material reserve</w:t>
      </w:r>
      <w:r w:rsidR="00E17A1C" w:rsidRPr="00E17A1C">
        <w:rPr>
          <w:rFonts w:ascii="Arial" w:hAnsi="Arial" w:cs="Arial"/>
          <w:sz w:val="20"/>
          <w:szCs w:val="20"/>
        </w:rPr>
        <w:t xml:space="preserve">/ purchase and sale of products in accordance with the business cooperation mechanism signed between </w:t>
      </w:r>
      <w:proofErr w:type="spellStart"/>
      <w:r w:rsidR="00E17A1C" w:rsidRPr="00E17A1C">
        <w:rPr>
          <w:rFonts w:ascii="Arial" w:hAnsi="Arial" w:cs="Arial"/>
          <w:sz w:val="20"/>
          <w:szCs w:val="20"/>
        </w:rPr>
        <w:t>Vimico</w:t>
      </w:r>
      <w:proofErr w:type="spellEnd"/>
      <w:r w:rsidR="00E17A1C" w:rsidRPr="00E17A1C">
        <w:rPr>
          <w:rFonts w:ascii="Arial" w:hAnsi="Arial" w:cs="Arial"/>
          <w:sz w:val="20"/>
          <w:szCs w:val="20"/>
        </w:rPr>
        <w:t xml:space="preserve"> and TKV, in order to ensure the ach</w:t>
      </w:r>
      <w:r w:rsidR="00B56061">
        <w:rPr>
          <w:rFonts w:ascii="Arial" w:hAnsi="Arial" w:cs="Arial"/>
          <w:sz w:val="20"/>
          <w:szCs w:val="20"/>
        </w:rPr>
        <w:t>ievement of the planned target,</w:t>
      </w:r>
      <w:r w:rsidR="00E17A1C" w:rsidRPr="00E17A1C">
        <w:rPr>
          <w:rFonts w:ascii="Arial" w:hAnsi="Arial" w:cs="Arial"/>
          <w:sz w:val="20"/>
          <w:szCs w:val="20"/>
        </w:rPr>
        <w:t xml:space="preserve"> maintain stable production,</w:t>
      </w:r>
      <w:r w:rsidR="00B56061">
        <w:rPr>
          <w:rFonts w:ascii="Arial" w:hAnsi="Arial" w:cs="Arial"/>
          <w:sz w:val="20"/>
          <w:szCs w:val="20"/>
        </w:rPr>
        <w:t xml:space="preserve"> preserve and develop capital</w:t>
      </w:r>
    </w:p>
    <w:p w:rsidR="00B56061" w:rsidRDefault="00B56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14:</w:t>
      </w:r>
      <w:r w:rsidR="00E17A1C" w:rsidRPr="00E17A1C">
        <w:rPr>
          <w:rFonts w:ascii="Arial" w:hAnsi="Arial" w:cs="Arial"/>
          <w:sz w:val="20"/>
          <w:szCs w:val="20"/>
        </w:rPr>
        <w:t xml:space="preserve"> Implementation provisions </w:t>
      </w:r>
    </w:p>
    <w:p w:rsidR="00B56061" w:rsidRDefault="00B56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This Resolution was</w:t>
      </w:r>
      <w:r w:rsidR="00E17A1C" w:rsidRPr="00E17A1C">
        <w:rPr>
          <w:rFonts w:ascii="Arial" w:hAnsi="Arial" w:cs="Arial"/>
          <w:sz w:val="20"/>
          <w:szCs w:val="20"/>
        </w:rPr>
        <w:t xml:space="preserve"> approved by the Annual General Meeting of Shareholders of </w:t>
      </w:r>
      <w:proofErr w:type="spellStart"/>
      <w:r w:rsidRPr="00B56061">
        <w:rPr>
          <w:rFonts w:ascii="Arial" w:hAnsi="Arial" w:cs="Arial"/>
          <w:sz w:val="20"/>
          <w:szCs w:val="20"/>
        </w:rPr>
        <w:t>Vinacomin</w:t>
      </w:r>
      <w:proofErr w:type="spellEnd"/>
      <w:r w:rsidRPr="00B56061">
        <w:rPr>
          <w:rFonts w:ascii="Arial" w:hAnsi="Arial" w:cs="Arial"/>
          <w:sz w:val="20"/>
          <w:szCs w:val="20"/>
        </w:rPr>
        <w:t xml:space="preserve"> - Minerals Holding Corporation</w:t>
      </w:r>
      <w:r w:rsidR="00E17A1C" w:rsidRPr="00E17A1C">
        <w:rPr>
          <w:rFonts w:ascii="Arial" w:hAnsi="Arial" w:cs="Arial"/>
          <w:sz w:val="20"/>
          <w:szCs w:val="20"/>
        </w:rPr>
        <w:t xml:space="preserve"> with the rate of 100% of the total voting shares of the shareholders present at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B56061" w:rsidRDefault="00B56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17A1C" w:rsidRPr="00E17A1C">
        <w:rPr>
          <w:rFonts w:ascii="Arial" w:hAnsi="Arial" w:cs="Arial"/>
          <w:sz w:val="20"/>
          <w:szCs w:val="20"/>
        </w:rPr>
        <w:t xml:space="preserve"> This Resolution takes effect from the date of approval of the Ge</w:t>
      </w:r>
      <w:r>
        <w:rPr>
          <w:rFonts w:ascii="Arial" w:hAnsi="Arial" w:cs="Arial"/>
          <w:sz w:val="20"/>
          <w:szCs w:val="20"/>
        </w:rPr>
        <w:t>neral Meeting of Shareholders.</w:t>
      </w:r>
    </w:p>
    <w:p w:rsidR="00E17A1C" w:rsidRDefault="00B560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E17A1C" w:rsidRPr="00E17A1C">
        <w:rPr>
          <w:rFonts w:ascii="Arial" w:hAnsi="Arial" w:cs="Arial"/>
          <w:sz w:val="20"/>
          <w:szCs w:val="20"/>
        </w:rPr>
        <w:t>Members of the Board of Directors, Board of Supervisors, General Director and all Shareholders of the Corporation are responsible for implement</w:t>
      </w:r>
      <w:r>
        <w:rPr>
          <w:rFonts w:ascii="Arial" w:hAnsi="Arial" w:cs="Arial"/>
          <w:sz w:val="20"/>
          <w:szCs w:val="20"/>
        </w:rPr>
        <w:t>ing this Resolution and organizing</w:t>
      </w:r>
      <w:r w:rsidR="00E17A1C" w:rsidRPr="00E17A1C">
        <w:rPr>
          <w:rFonts w:ascii="Arial" w:hAnsi="Arial" w:cs="Arial"/>
          <w:sz w:val="20"/>
          <w:szCs w:val="20"/>
        </w:rPr>
        <w:t xml:space="preserve"> the implementation according to their respe</w:t>
      </w:r>
      <w:r>
        <w:rPr>
          <w:rFonts w:ascii="Arial" w:hAnsi="Arial" w:cs="Arial"/>
          <w:sz w:val="20"/>
          <w:szCs w:val="20"/>
        </w:rPr>
        <w:t xml:space="preserve">ctive competence and functions in accordance with </w:t>
      </w:r>
      <w:r w:rsidR="00E17A1C" w:rsidRPr="00E17A1C">
        <w:rPr>
          <w:rFonts w:ascii="Arial" w:hAnsi="Arial" w:cs="Arial"/>
          <w:sz w:val="20"/>
          <w:szCs w:val="20"/>
        </w:rPr>
        <w:t xml:space="preserve">the provisions of law and the Charter on organization and operation of </w:t>
      </w:r>
      <w:proofErr w:type="spellStart"/>
      <w:r w:rsidRPr="00B56061">
        <w:rPr>
          <w:rFonts w:ascii="Arial" w:hAnsi="Arial" w:cs="Arial"/>
          <w:sz w:val="20"/>
          <w:szCs w:val="20"/>
        </w:rPr>
        <w:t>Vinacomin</w:t>
      </w:r>
      <w:proofErr w:type="spellEnd"/>
      <w:r w:rsidRPr="00B56061">
        <w:rPr>
          <w:rFonts w:ascii="Arial" w:hAnsi="Arial" w:cs="Arial"/>
          <w:sz w:val="20"/>
          <w:szCs w:val="20"/>
        </w:rPr>
        <w:t xml:space="preserve"> - Minerals Holding Corporation </w:t>
      </w:r>
    </w:p>
    <w:sectPr w:rsidR="00E1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871EB"/>
    <w:rsid w:val="000A0B74"/>
    <w:rsid w:val="00132EC5"/>
    <w:rsid w:val="00146DCF"/>
    <w:rsid w:val="0016411D"/>
    <w:rsid w:val="0018777E"/>
    <w:rsid w:val="001C385E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5D39A4"/>
    <w:rsid w:val="006E15A6"/>
    <w:rsid w:val="00745D9A"/>
    <w:rsid w:val="0077456B"/>
    <w:rsid w:val="007A072F"/>
    <w:rsid w:val="007A1FCC"/>
    <w:rsid w:val="007B67AF"/>
    <w:rsid w:val="008134FC"/>
    <w:rsid w:val="00837771"/>
    <w:rsid w:val="0084484E"/>
    <w:rsid w:val="0084485C"/>
    <w:rsid w:val="00853748"/>
    <w:rsid w:val="008544C2"/>
    <w:rsid w:val="008852F8"/>
    <w:rsid w:val="00957E9B"/>
    <w:rsid w:val="00981275"/>
    <w:rsid w:val="009C28F2"/>
    <w:rsid w:val="009E1744"/>
    <w:rsid w:val="00A06443"/>
    <w:rsid w:val="00A06521"/>
    <w:rsid w:val="00A0779E"/>
    <w:rsid w:val="00A128FC"/>
    <w:rsid w:val="00A34999"/>
    <w:rsid w:val="00A62E62"/>
    <w:rsid w:val="00A63B6C"/>
    <w:rsid w:val="00AA54AD"/>
    <w:rsid w:val="00AB02D2"/>
    <w:rsid w:val="00AB2C99"/>
    <w:rsid w:val="00AB32F6"/>
    <w:rsid w:val="00AC4F64"/>
    <w:rsid w:val="00AF67BE"/>
    <w:rsid w:val="00B04704"/>
    <w:rsid w:val="00B14191"/>
    <w:rsid w:val="00B56061"/>
    <w:rsid w:val="00B70D7E"/>
    <w:rsid w:val="00B95D2B"/>
    <w:rsid w:val="00BA1F12"/>
    <w:rsid w:val="00BA3FB7"/>
    <w:rsid w:val="00BD3CCA"/>
    <w:rsid w:val="00C33557"/>
    <w:rsid w:val="00C36031"/>
    <w:rsid w:val="00C940B5"/>
    <w:rsid w:val="00D10FE7"/>
    <w:rsid w:val="00D52C26"/>
    <w:rsid w:val="00D7401E"/>
    <w:rsid w:val="00D74339"/>
    <w:rsid w:val="00D77F89"/>
    <w:rsid w:val="00DA54D0"/>
    <w:rsid w:val="00DD263A"/>
    <w:rsid w:val="00DE5C3C"/>
    <w:rsid w:val="00E17A1C"/>
    <w:rsid w:val="00E3085A"/>
    <w:rsid w:val="00E4740B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3E762-33EF-40C4-B4C9-63B009A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79</cp:revision>
  <dcterms:created xsi:type="dcterms:W3CDTF">2019-10-16T10:03:00Z</dcterms:created>
  <dcterms:modified xsi:type="dcterms:W3CDTF">2020-04-03T11:30:00Z</dcterms:modified>
</cp:coreProperties>
</file>